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6" w:lineRule="exact"/>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86" w:lineRule="exact"/>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内乡振字〔</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val="en-US" w:eastAsia="zh-CN"/>
        </w:rPr>
        <w:t>10</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outlineLvl w:val="9"/>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关于印发《</w:t>
      </w:r>
      <w:r>
        <w:rPr>
          <w:rFonts w:hint="eastAsia" w:ascii="方正小标宋简体" w:hAnsi="方正小标宋简体" w:eastAsia="方正小标宋简体" w:cs="方正小标宋简体"/>
          <w:sz w:val="44"/>
          <w:szCs w:val="44"/>
          <w:highlight w:val="none"/>
          <w:lang w:val="en-US" w:eastAsia="zh-CN"/>
        </w:rPr>
        <w:t>关</w:t>
      </w:r>
      <w:r>
        <w:rPr>
          <w:rFonts w:hint="eastAsia" w:ascii="方正小标宋简体" w:hAnsi="方正小标宋简体" w:eastAsia="方正小标宋简体" w:cs="方正小标宋简体"/>
          <w:sz w:val="44"/>
          <w:szCs w:val="44"/>
          <w:highlight w:val="none"/>
        </w:rPr>
        <w:t>于进一步健全完善帮扶项目</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联农带农机制的</w:t>
      </w:r>
      <w:r>
        <w:rPr>
          <w:rFonts w:hint="eastAsia" w:ascii="方正小标宋简体" w:hAnsi="方正小标宋简体" w:eastAsia="方正小标宋简体" w:cs="方正小标宋简体"/>
          <w:sz w:val="44"/>
          <w:szCs w:val="44"/>
          <w:highlight w:val="none"/>
          <w:lang w:val="en-US" w:eastAsia="zh-CN"/>
        </w:rPr>
        <w:t>实施细则</w:t>
      </w:r>
      <w:r>
        <w:rPr>
          <w:rFonts w:hint="eastAsia" w:ascii="方正小标宋简体" w:hAnsi="方正小标宋简体" w:eastAsia="方正小标宋简体" w:cs="方正小标宋简体"/>
          <w:sz w:val="44"/>
          <w:szCs w:val="44"/>
          <w:highlight w:val="none"/>
          <w:lang w:eastAsia="zh-CN"/>
        </w:rPr>
        <w:t>》</w:t>
      </w:r>
      <w:r>
        <w:rPr>
          <w:rFonts w:hint="eastAsia" w:ascii="方正小标宋简体" w:hAnsi="方正小标宋简体" w:eastAsia="方正小标宋简体" w:cs="方正小标宋简体"/>
          <w:sz w:val="44"/>
          <w:szCs w:val="44"/>
          <w:highlight w:val="none"/>
        </w:rPr>
        <w:t>的通知</w:t>
      </w:r>
    </w:p>
    <w:p>
      <w:pPr>
        <w:keepNext w:val="0"/>
        <w:keepLines w:val="0"/>
        <w:pageBreakBefore w:val="0"/>
        <w:widowControl w:val="0"/>
        <w:kinsoku/>
        <w:wordWrap/>
        <w:overflowPunct/>
        <w:topLinePunct w:val="0"/>
        <w:autoSpaceDE/>
        <w:autoSpaceDN/>
        <w:bidi w:val="0"/>
        <w:adjustRightInd/>
        <w:snapToGrid/>
        <w:spacing w:line="586" w:lineRule="exact"/>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cs="仿宋_GB2312"/>
          <w:color w:val="000000" w:themeColor="text1"/>
          <w:sz w:val="32"/>
          <w:szCs w:val="32"/>
          <w:highlight w:val="none"/>
          <w:lang w:eastAsia="zh-CN"/>
          <w14:textFill>
            <w14:solidFill>
              <w14:schemeClr w14:val="tx1"/>
            </w14:solidFill>
          </w14:textFill>
        </w:rPr>
        <w:t>各盟市</w:t>
      </w:r>
      <w:r>
        <w:rPr>
          <w:rFonts w:hint="default" w:ascii="仿宋_GB2312" w:hAnsi="仿宋_GB2312" w:cs="仿宋_GB2312"/>
          <w:color w:val="000000" w:themeColor="text1"/>
          <w:sz w:val="32"/>
          <w:szCs w:val="32"/>
          <w:highlight w:val="none"/>
          <w:lang w:val="en" w:eastAsia="zh-CN"/>
          <w14:textFill>
            <w14:solidFill>
              <w14:schemeClr w14:val="tx1"/>
            </w14:solidFill>
          </w14:textFill>
        </w:rPr>
        <w:t>乡村振兴局，</w:t>
      </w:r>
      <w:r>
        <w:rPr>
          <w:rFonts w:hint="eastAsia" w:ascii="仿宋_GB2312" w:hAnsi="仿宋_GB2312" w:cs="仿宋_GB2312"/>
          <w:color w:val="000000" w:themeColor="text1"/>
          <w:sz w:val="32"/>
          <w:szCs w:val="32"/>
          <w:highlight w:val="none"/>
          <w:lang w:eastAsia="zh-CN"/>
          <w14:textFill>
            <w14:solidFill>
              <w14:schemeClr w14:val="tx1"/>
            </w14:solidFill>
          </w14:textFill>
        </w:rPr>
        <w:t>满洲里市、二连浩特市乡村振兴局：</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r>
        <w:rPr>
          <w:rFonts w:hint="default" w:ascii="仿宋_GB2312" w:hAnsi="仿宋_GB2312" w:cs="仿宋_GB2312"/>
          <w:color w:val="000000" w:themeColor="text1"/>
          <w:sz w:val="32"/>
          <w:szCs w:val="32"/>
          <w:highlight w:val="none"/>
          <w:lang w:val="en" w:eastAsia="zh-CN"/>
          <w14:textFill>
            <w14:solidFill>
              <w14:schemeClr w14:val="tx1"/>
            </w14:solidFill>
          </w14:textFill>
        </w:rPr>
        <w:t>现将</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关</w:t>
      </w:r>
      <w:r>
        <w:rPr>
          <w:rFonts w:hint="eastAsia" w:ascii="仿宋_GB2312" w:hAnsi="仿宋_GB2312" w:cs="仿宋_GB2312"/>
          <w:color w:val="000000" w:themeColor="text1"/>
          <w:sz w:val="32"/>
          <w:szCs w:val="32"/>
          <w:highlight w:val="none"/>
          <w:lang w:eastAsia="zh-CN"/>
          <w14:textFill>
            <w14:solidFill>
              <w14:schemeClr w14:val="tx1"/>
            </w14:solidFill>
          </w14:textFill>
        </w:rPr>
        <w:t>于进一步健全完善帮扶项目联农带农机制的</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实施细则</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default" w:ascii="仿宋_GB2312" w:hAnsi="仿宋_GB2312" w:cs="仿宋_GB2312"/>
          <w:color w:val="000000" w:themeColor="text1"/>
          <w:sz w:val="32"/>
          <w:szCs w:val="32"/>
          <w:highlight w:val="none"/>
          <w:lang w:val="en" w:eastAsia="zh-CN"/>
          <w14:textFill>
            <w14:solidFill>
              <w14:schemeClr w14:val="tx1"/>
            </w14:solidFill>
          </w14:textFill>
        </w:rPr>
        <w:t>印</w:t>
      </w:r>
      <w:r>
        <w:rPr>
          <w:rFonts w:hint="eastAsia" w:ascii="仿宋_GB2312" w:hAnsi="仿宋_GB2312" w:cs="仿宋_GB2312"/>
          <w:color w:val="000000" w:themeColor="text1"/>
          <w:sz w:val="32"/>
          <w:szCs w:val="32"/>
          <w:highlight w:val="none"/>
          <w:lang w:eastAsia="zh-CN"/>
          <w14:textFill>
            <w14:solidFill>
              <w14:schemeClr w14:val="tx1"/>
            </w14:solidFill>
          </w14:textFill>
        </w:rPr>
        <w:t>发给你们，请认真贯彻执行。</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ind w:firstLine="3476" w:firstLineChars="1100"/>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cs="仿宋_GB2312"/>
          <w:color w:val="000000" w:themeColor="text1"/>
          <w:sz w:val="32"/>
          <w:szCs w:val="32"/>
          <w:highlight w:val="none"/>
          <w:lang w:eastAsia="zh-CN"/>
          <w14:textFill>
            <w14:solidFill>
              <w14:schemeClr w14:val="tx1"/>
            </w14:solidFill>
          </w14:textFill>
        </w:rPr>
        <w:t>内蒙古自治区乡村振兴局</w:t>
      </w:r>
    </w:p>
    <w:p>
      <w:pPr>
        <w:keepNext w:val="0"/>
        <w:keepLines w:val="0"/>
        <w:pageBreakBefore w:val="0"/>
        <w:widowControl w:val="0"/>
        <w:kinsoku/>
        <w:wordWrap/>
        <w:overflowPunct/>
        <w:topLinePunct w:val="0"/>
        <w:autoSpaceDE/>
        <w:autoSpaceDN/>
        <w:bidi w:val="0"/>
        <w:adjustRightInd/>
        <w:snapToGrid/>
        <w:spacing w:line="586" w:lineRule="exact"/>
        <w:ind w:firstLine="4108" w:firstLineChars="1300"/>
        <w:jc w:val="both"/>
        <w:textAlignment w:val="baseline"/>
        <w:rPr>
          <w:rFonts w:hint="eastAsia" w:ascii="仿宋_GB2312" w:hAnsi="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cs="仿宋_GB2312"/>
          <w:color w:val="000000" w:themeColor="text1"/>
          <w:sz w:val="32"/>
          <w:szCs w:val="32"/>
          <w:highlight w:val="none"/>
          <w:lang w:eastAsia="zh-CN"/>
          <w14:textFill>
            <w14:solidFill>
              <w14:schemeClr w14:val="tx1"/>
            </w14:solidFill>
          </w14:textFill>
        </w:rPr>
        <w:t>202</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cs="仿宋_GB2312"/>
          <w:color w:val="000000" w:themeColor="text1"/>
          <w:sz w:val="32"/>
          <w:szCs w:val="32"/>
          <w:highlight w:val="none"/>
          <w:lang w:eastAsia="zh-CN"/>
          <w14:textFill>
            <w14:solidFill>
              <w14:schemeClr w14:val="tx1"/>
            </w14:solidFill>
          </w14:textFill>
        </w:rPr>
        <w:t>年</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cs="仿宋_GB2312"/>
          <w:color w:val="000000" w:themeColor="text1"/>
          <w:sz w:val="32"/>
          <w:szCs w:val="32"/>
          <w:highlight w:val="none"/>
          <w:lang w:eastAsia="zh-CN"/>
          <w14:textFill>
            <w14:solidFill>
              <w14:schemeClr w14:val="tx1"/>
            </w14:solidFill>
          </w14:textFill>
        </w:rPr>
        <w:t>月</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cs="仿宋_GB2312"/>
          <w:color w:val="000000" w:themeColor="text1"/>
          <w:sz w:val="32"/>
          <w:szCs w:val="32"/>
          <w:highlight w:val="none"/>
          <w:lang w:eastAsia="zh-CN"/>
          <w14:textFill>
            <w14:solidFill>
              <w14:schemeClr w14:val="tx1"/>
            </w14:solidFill>
          </w14:textFill>
        </w:rPr>
        <w:t>日</w:t>
      </w:r>
    </w:p>
    <w:p>
      <w:pPr>
        <w:pStyle w:val="2"/>
        <w:numPr>
          <w:ilvl w:val="0"/>
          <w:numId w:val="0"/>
        </w:numPr>
        <w:ind w:leftChars="40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auto"/>
        <w:rPr>
          <w:rFonts w:hint="eastAsia" w:ascii="方正小标宋简体" w:hAnsi="方正小标宋简体" w:eastAsia="方正小标宋简体" w:cs="方正小标宋简体"/>
          <w:sz w:val="44"/>
          <w:szCs w:val="44"/>
          <w:highlight w:val="none"/>
          <w:lang w:val="en-US" w:eastAsia="zh-CN"/>
        </w:rPr>
      </w:pPr>
    </w:p>
    <w:p>
      <w:pPr>
        <w:pStyle w:val="2"/>
        <w:rPr>
          <w:rFonts w:hint="eastAsia" w:ascii="方正小标宋简体" w:hAnsi="方正小标宋简体" w:eastAsia="方正小标宋简体" w:cs="方正小标宋简体"/>
          <w:sz w:val="44"/>
          <w:szCs w:val="44"/>
          <w:highlight w:val="none"/>
          <w:lang w:val="en-US" w:eastAsia="zh-CN"/>
        </w:rPr>
      </w:pPr>
    </w:p>
    <w:p>
      <w:pPr>
        <w:pStyle w:val="4"/>
        <w:rPr>
          <w:rFonts w:hint="eastAsia"/>
          <w:lang w:val="en-US" w:eastAsia="zh-CN"/>
        </w:rPr>
      </w:pPr>
    </w:p>
    <w:p>
      <w:pPr>
        <w:pStyle w:val="4"/>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val="en-US" w:eastAsia="zh-CN"/>
        </w:rPr>
        <w:t>关</w:t>
      </w:r>
      <w:r>
        <w:rPr>
          <w:rFonts w:hint="eastAsia" w:ascii="方正小标宋简体" w:hAnsi="方正小标宋简体" w:eastAsia="方正小标宋简体" w:cs="方正小标宋简体"/>
          <w:sz w:val="44"/>
          <w:szCs w:val="44"/>
          <w:highlight w:val="none"/>
        </w:rPr>
        <w:t>于进一步健全完善帮扶项目联农带农</w:t>
      </w:r>
    </w:p>
    <w:p>
      <w:pPr>
        <w:keepNext w:val="0"/>
        <w:keepLines w:val="0"/>
        <w:pageBreakBefore w:val="0"/>
        <w:widowControl w:val="0"/>
        <w:kinsoku/>
        <w:wordWrap/>
        <w:overflowPunct/>
        <w:topLinePunct w:val="0"/>
        <w:autoSpaceDE/>
        <w:autoSpaceDN/>
        <w:bidi w:val="0"/>
        <w:adjustRightInd/>
        <w:snapToGrid/>
        <w:spacing w:line="586" w:lineRule="exact"/>
        <w:jc w:val="center"/>
        <w:textAlignment w:val="baseline"/>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rPr>
        <w:t>机制的</w:t>
      </w:r>
      <w:r>
        <w:rPr>
          <w:rFonts w:hint="eastAsia" w:ascii="方正小标宋简体" w:hAnsi="方正小标宋简体" w:eastAsia="方正小标宋简体" w:cs="方正小标宋简体"/>
          <w:sz w:val="44"/>
          <w:szCs w:val="44"/>
          <w:highlight w:val="none"/>
          <w:lang w:val="en-US" w:eastAsia="zh-CN"/>
        </w:rPr>
        <w:t>实施细则</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第一章  总则</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为进一步健全完善联农带农机制，有效发挥帮扶项目资金对农牧户</w:t>
      </w:r>
      <w:r>
        <w:rPr>
          <w:rFonts w:hint="eastAsia" w:ascii="仿宋_GB2312" w:hAnsi="仿宋_GB2312" w:eastAsia="仿宋_GB2312" w:cs="仿宋_GB2312"/>
          <w:color w:val="000000" w:themeColor="text1"/>
          <w:sz w:val="32"/>
          <w:szCs w:val="32"/>
          <w:highlight w:val="none"/>
          <w14:textFill>
            <w14:solidFill>
              <w14:schemeClr w14:val="tx1"/>
            </w14:solidFill>
          </w14:textFill>
        </w:rPr>
        <w:t>特别是防止返贫监测</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highlight w:val="none"/>
          <w14:textFill>
            <w14:solidFill>
              <w14:schemeClr w14:val="tx1"/>
            </w14:solidFill>
          </w14:textFill>
        </w:rPr>
        <w:t>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以下简称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监测对象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脱贫人口的带动作用，</w:t>
      </w:r>
      <w:r>
        <w:rPr>
          <w:rFonts w:hint="eastAsia" w:ascii="仿宋_GB2312" w:hAnsi="仿宋_GB2312" w:cs="仿宋_GB2312"/>
          <w:color w:val="000000" w:themeColor="text1"/>
          <w:sz w:val="32"/>
          <w:szCs w:val="32"/>
          <w:highlight w:val="none"/>
          <w:lang w:eastAsia="zh-CN"/>
          <w14:textFill>
            <w14:solidFill>
              <w14:schemeClr w14:val="tx1"/>
            </w14:solidFill>
          </w14:textFill>
        </w:rPr>
        <w:t>使其更多分享产业增值收益，不断增强自我发展能力，持续稳定增加收入，更好</w:t>
      </w:r>
      <w:r>
        <w:rPr>
          <w:rFonts w:hint="eastAsia" w:ascii="仿宋_GB2312" w:hAnsi="仿宋_GB2312" w:eastAsia="仿宋_GB2312" w:cs="仿宋_GB2312"/>
          <w:color w:val="000000" w:themeColor="text1"/>
          <w:sz w:val="32"/>
          <w:szCs w:val="32"/>
          <w:highlight w:val="none"/>
          <w14:textFill>
            <w14:solidFill>
              <w14:schemeClr w14:val="tx1"/>
            </w14:solidFill>
          </w14:textFill>
        </w:rPr>
        <w:t>巩固拓展脱贫攻坚成果、全面推进乡村振兴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根据国家乡村振兴局《关于进一步健全完善帮扶项目联农带农机制的指导意见》</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（国乡振发〔2022〕9号），</w:t>
      </w:r>
      <w:r>
        <w:rPr>
          <w:rFonts w:hint="default" w:ascii="仿宋_GB2312" w:hAnsi="仿宋_GB2312" w:cs="仿宋_GB2312"/>
          <w:color w:val="000000" w:themeColor="text1"/>
          <w:spacing w:val="-11"/>
          <w:sz w:val="32"/>
          <w:szCs w:val="32"/>
          <w:highlight w:val="none"/>
          <w:lang w:val="en" w:eastAsia="zh-CN"/>
          <w14:textFill>
            <w14:solidFill>
              <w14:schemeClr w14:val="tx1"/>
            </w14:solidFill>
          </w14:textFill>
        </w:rPr>
        <w:t>结合我区实际，</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制定本实施细则。</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第二条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坚持获得支持与落实联农带农责任相结合，使用相关帮扶资金的经营性帮扶项目，</w:t>
      </w:r>
      <w:r>
        <w:rPr>
          <w:rFonts w:hint="eastAsia" w:ascii="仿宋_GB2312" w:hAnsi="仿宋_GB2312" w:cs="仿宋_GB2312"/>
          <w:color w:val="000000" w:themeColor="text1"/>
          <w:sz w:val="32"/>
          <w:szCs w:val="32"/>
          <w:highlight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14:textFill>
            <w14:solidFill>
              <w14:schemeClr w14:val="tx1"/>
            </w14:solidFill>
          </w14:textFill>
        </w:rPr>
        <w:t>都要建立联农带农机制，做到应带尽带。</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坚持强化带动效益与提升带动能力相结合，科学合理确定带动方式和受益程度，健全完善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带得准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带得稳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带得久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的长效机制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坚持任务、责任、权力相统一，强化</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压实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旗县管理责任，落实帮扶项目联农带农要求。</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第二章 </w:t>
      </w:r>
      <w:r>
        <w:rPr>
          <w:rFonts w:hint="default" w:ascii="黑体" w:hAnsi="黑体" w:eastAsia="黑体" w:cs="黑体"/>
          <w:color w:val="000000" w:themeColor="text1"/>
          <w:sz w:val="32"/>
          <w:szCs w:val="32"/>
          <w:highlight w:val="none"/>
          <w:lang w:val="en" w:eastAsia="zh-CN"/>
          <w14:textFill>
            <w14:solidFill>
              <w14:schemeClr w14:val="tx1"/>
            </w14:solidFill>
          </w14:textFill>
        </w:rPr>
        <w:t xml:space="preserve"> 明确</w:t>
      </w:r>
      <w:r>
        <w:rPr>
          <w:rFonts w:hint="eastAsia" w:ascii="黑体" w:hAnsi="黑体" w:eastAsia="黑体" w:cs="黑体"/>
          <w:color w:val="000000" w:themeColor="text1"/>
          <w:sz w:val="32"/>
          <w:szCs w:val="32"/>
          <w:highlight w:val="none"/>
          <w:lang w:val="en-US" w:eastAsia="zh-CN"/>
          <w14:textFill>
            <w14:solidFill>
              <w14:schemeClr w14:val="tx1"/>
            </w14:solidFill>
          </w14:textFill>
        </w:rPr>
        <w:t>联农带农对象</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第五条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重点对监测对象和脱贫人口进行带动帮扶，在此基础上，有序带动其他农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户发展。</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第六条  </w:t>
      </w:r>
      <w:r>
        <w:rPr>
          <w:rFonts w:hint="eastAsia" w:ascii="仿宋_GB2312" w:hAnsi="仿宋_GB2312" w:eastAsia="仿宋_GB2312" w:cs="仿宋_GB2312"/>
          <w:color w:val="000000" w:themeColor="text1"/>
          <w:sz w:val="32"/>
          <w:szCs w:val="32"/>
          <w:highlight w:val="none"/>
          <w14:textFill>
            <w14:solidFill>
              <w14:schemeClr w14:val="tx1"/>
            </w14:solidFill>
          </w14:textFill>
        </w:rPr>
        <w:t>注重发挥农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户主体作用，</w:t>
      </w:r>
      <w:r>
        <w:rPr>
          <w:rFonts w:hint="eastAsia" w:ascii="仿宋_GB2312" w:hAnsi="仿宋_GB2312" w:cs="仿宋_GB2312"/>
          <w:color w:val="000000" w:themeColor="text1"/>
          <w:sz w:val="32"/>
          <w:szCs w:val="32"/>
          <w:highlight w:val="none"/>
          <w:lang w:eastAsia="zh-CN"/>
          <w14:textFill>
            <w14:solidFill>
              <w14:schemeClr w14:val="tx1"/>
            </w14:solidFill>
          </w14:textFill>
        </w:rPr>
        <w:t>强化</w:t>
      </w:r>
      <w:r>
        <w:rPr>
          <w:rFonts w:hint="eastAsia" w:ascii="仿宋_GB2312" w:hAnsi="仿宋_GB2312" w:eastAsia="仿宋_GB2312" w:cs="仿宋_GB2312"/>
          <w:color w:val="000000" w:themeColor="text1"/>
          <w:sz w:val="32"/>
          <w:szCs w:val="32"/>
          <w:highlight w:val="none"/>
          <w14:textFill>
            <w14:solidFill>
              <w14:schemeClr w14:val="tx1"/>
            </w14:solidFill>
          </w14:textFill>
        </w:rPr>
        <w:t>依靠辛勤劳动稳定</w:t>
      </w:r>
      <w:r>
        <w:rPr>
          <w:rFonts w:hint="eastAsia" w:ascii="仿宋_GB2312" w:hAnsi="仿宋_GB2312" w:cs="仿宋_GB2312"/>
          <w:color w:val="000000" w:themeColor="text1"/>
          <w:sz w:val="32"/>
          <w:szCs w:val="32"/>
          <w:highlight w:val="none"/>
          <w:lang w:eastAsia="zh-CN"/>
          <w14:textFill>
            <w14:solidFill>
              <w14:schemeClr w14:val="tx1"/>
            </w14:solidFill>
          </w14:textFill>
        </w:rPr>
        <w:t>脱贫、</w:t>
      </w:r>
      <w:r>
        <w:rPr>
          <w:rFonts w:hint="eastAsia" w:ascii="仿宋_GB2312" w:hAnsi="仿宋_GB2312" w:eastAsia="仿宋_GB2312" w:cs="仿宋_GB2312"/>
          <w:color w:val="000000" w:themeColor="text1"/>
          <w:sz w:val="32"/>
          <w:szCs w:val="32"/>
          <w:highlight w:val="none"/>
          <w14:textFill>
            <w14:solidFill>
              <w14:schemeClr w14:val="tx1"/>
            </w14:solidFill>
          </w14:textFill>
        </w:rPr>
        <w:t>增收致富的工作导向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不断激发群众内生动力，提高自我发展能力。</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第三章 </w:t>
      </w:r>
      <w:r>
        <w:rPr>
          <w:rFonts w:hint="default" w:ascii="黑体" w:hAnsi="黑体" w:eastAsia="黑体" w:cs="黑体"/>
          <w:color w:val="000000" w:themeColor="text1"/>
          <w:sz w:val="32"/>
          <w:szCs w:val="32"/>
          <w:highlight w:val="none"/>
          <w:lang w:val="en"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val="en-US" w:eastAsia="zh-CN"/>
          <w14:textFill>
            <w14:solidFill>
              <w14:schemeClr w14:val="tx1"/>
            </w14:solidFill>
          </w14:textFill>
        </w:rPr>
        <w:t>落实联农带农责任</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第七条  </w:t>
      </w:r>
      <w:r>
        <w:rPr>
          <w:rFonts w:hint="eastAsia" w:ascii="仿宋_GB2312" w:hAnsi="仿宋_GB2312" w:eastAsia="仿宋_GB2312" w:cs="仿宋_GB2312"/>
          <w:color w:val="000000" w:themeColor="text1"/>
          <w:sz w:val="32"/>
          <w:szCs w:val="32"/>
          <w:highlight w:val="none"/>
          <w14:textFill>
            <w14:solidFill>
              <w14:schemeClr w14:val="tx1"/>
            </w14:solidFill>
          </w14:textFill>
        </w:rPr>
        <w:t>过渡期内</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使用各级财政衔接推进乡村振兴补助资金</w:t>
      </w:r>
      <w:r>
        <w:rPr>
          <w:rFonts w:hint="default" w:ascii="仿宋_GB2312" w:hAnsi="仿宋_GB2312" w:cs="仿宋_GB2312"/>
          <w:color w:val="000000" w:themeColor="text1"/>
          <w:sz w:val="32"/>
          <w:szCs w:val="32"/>
          <w:highlight w:val="none"/>
          <w:lang w:val="e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脱贫</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旗</w:t>
      </w:r>
      <w:r>
        <w:rPr>
          <w:rFonts w:hint="eastAsia" w:ascii="仿宋_GB2312" w:hAnsi="仿宋_GB2312" w:eastAsia="仿宋_GB2312" w:cs="仿宋_GB2312"/>
          <w:color w:val="000000" w:themeColor="text1"/>
          <w:sz w:val="32"/>
          <w:szCs w:val="32"/>
          <w:highlight w:val="none"/>
          <w14:textFill>
            <w14:solidFill>
              <w14:schemeClr w14:val="tx1"/>
            </w14:solidFill>
          </w14:textFill>
        </w:rPr>
        <w:t>县统筹整合使用财政涉农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涉牧</w:t>
      </w:r>
      <w:r>
        <w:rPr>
          <w:rFonts w:hint="eastAsia" w:ascii="仿宋_GB2312" w:hAnsi="仿宋_GB2312" w:eastAsia="仿宋_GB2312" w:cs="仿宋_GB2312"/>
          <w:color w:val="000000" w:themeColor="text1"/>
          <w:sz w:val="32"/>
          <w:szCs w:val="32"/>
          <w:highlight w:val="none"/>
          <w14:textFill>
            <w14:solidFill>
              <w14:schemeClr w14:val="tx1"/>
            </w14:solidFill>
          </w14:textFill>
        </w:rPr>
        <w:t>资金</w:t>
      </w:r>
      <w:r>
        <w:rPr>
          <w:rFonts w:hint="default" w:ascii="仿宋_GB2312" w:hAnsi="仿宋_GB2312" w:cs="仿宋_GB2312"/>
          <w:color w:val="000000" w:themeColor="text1"/>
          <w:sz w:val="32"/>
          <w:szCs w:val="32"/>
          <w:highlight w:val="none"/>
          <w:lang w:val="en"/>
          <w14:textFill>
            <w14:solidFill>
              <w14:schemeClr w14:val="tx1"/>
            </w14:solidFill>
          </w14:textFill>
        </w:rPr>
        <w:t>、</w:t>
      </w:r>
      <w:r>
        <w:rPr>
          <w:rFonts w:hint="eastAsia" w:ascii="仿宋_GB2312" w:hAnsi="仿宋_GB2312" w:cs="仿宋_GB2312"/>
          <w:color w:val="000000" w:themeColor="text1"/>
          <w:sz w:val="32"/>
          <w:szCs w:val="32"/>
          <w:highlight w:val="none"/>
          <w:lang w:val="en" w:eastAsia="zh-CN"/>
          <w14:textFill>
            <w14:solidFill>
              <w14:schemeClr w14:val="tx1"/>
            </w14:solidFill>
          </w14:textFill>
        </w:rPr>
        <w:t>京蒙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协作资金</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中央</w:t>
      </w:r>
      <w:r>
        <w:rPr>
          <w:rFonts w:hint="eastAsia" w:ascii="仿宋_GB2312" w:hAnsi="仿宋_GB2312" w:cs="仿宋_GB2312"/>
          <w:color w:val="000000" w:themeColor="text1"/>
          <w:sz w:val="32"/>
          <w:szCs w:val="32"/>
          <w:highlight w:val="none"/>
          <w:lang w:eastAsia="zh-CN"/>
          <w14:textFill>
            <w14:solidFill>
              <w14:schemeClr w14:val="tx1"/>
            </w14:solidFill>
          </w14:textFill>
        </w:rPr>
        <w:t>和自治区等各级</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单位定点帮扶无偿援助资金</w:t>
      </w:r>
      <w:r>
        <w:rPr>
          <w:rFonts w:hint="default" w:ascii="仿宋_GB2312" w:hAnsi="仿宋_GB2312" w:cs="仿宋_GB2312"/>
          <w:color w:val="000000" w:themeColor="text1"/>
          <w:sz w:val="32"/>
          <w:szCs w:val="32"/>
          <w:highlight w:val="none"/>
          <w:lang w:val="e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社会捐赠资金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cs="仿宋_GB2312"/>
          <w:color w:val="000000" w:themeColor="text1"/>
          <w:sz w:val="32"/>
          <w:szCs w:val="32"/>
          <w:highlight w:val="none"/>
          <w:lang w:eastAsia="zh-CN"/>
          <w14:textFill>
            <w14:solidFill>
              <w14:schemeClr w14:val="tx1"/>
            </w14:solidFill>
          </w14:textFill>
        </w:rPr>
        <w:t>上述资金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以下</w:t>
      </w:r>
      <w:r>
        <w:rPr>
          <w:rFonts w:hint="eastAsia" w:ascii="仿宋_GB2312" w:hAnsi="仿宋_GB2312" w:eastAsia="仿宋_GB2312" w:cs="仿宋_GB2312"/>
          <w:color w:val="000000" w:themeColor="text1"/>
          <w:sz w:val="32"/>
          <w:szCs w:val="32"/>
          <w:highlight w:val="none"/>
          <w14:textFill>
            <w14:solidFill>
              <w14:schemeClr w14:val="tx1"/>
            </w14:solidFill>
          </w14:textFill>
        </w:rPr>
        <w:t>统称为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帮扶资金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)扶持的经营性项目，</w:t>
      </w:r>
      <w:r>
        <w:rPr>
          <w:rFonts w:hint="eastAsia" w:ascii="仿宋_GB2312" w:hAnsi="仿宋_GB2312" w:cs="仿宋_GB2312"/>
          <w:color w:val="000000" w:themeColor="text1"/>
          <w:sz w:val="32"/>
          <w:szCs w:val="32"/>
          <w:highlight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14:textFill>
            <w14:solidFill>
              <w14:schemeClr w14:val="tx1"/>
            </w14:solidFill>
          </w14:textFill>
        </w:rPr>
        <w:t>都要建立联农带农机制，</w:t>
      </w:r>
      <w:r>
        <w:rPr>
          <w:rFonts w:hint="eastAsia" w:ascii="仿宋_GB2312" w:hAnsi="仿宋_GB2312" w:cs="仿宋_GB2312"/>
          <w:color w:val="000000" w:themeColor="text1"/>
          <w:sz w:val="32"/>
          <w:szCs w:val="32"/>
          <w:highlight w:val="none"/>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经营主体要落实联农带农责任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highlight w:val="none"/>
          <w14:textFill>
            <w14:solidFill>
              <w14:schemeClr w14:val="tx1"/>
            </w14:solidFill>
          </w14:textFill>
        </w:rPr>
        <w:t>纳入扶贫</w:t>
      </w:r>
      <w:r>
        <w:rPr>
          <w:rFonts w:hint="eastAsia" w:ascii="仿宋_GB2312" w:hAnsi="仿宋_GB2312" w:cs="仿宋_GB2312"/>
          <w:color w:val="000000" w:themeColor="text1"/>
          <w:sz w:val="32"/>
          <w:szCs w:val="32"/>
          <w:highlight w:val="none"/>
          <w:lang w:eastAsia="zh-CN"/>
          <w14:textFill>
            <w14:solidFill>
              <w14:schemeClr w14:val="tx1"/>
            </w14:solidFill>
          </w14:textFill>
        </w:rPr>
        <w:t>（帮扶）</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项目资产管理的经营性项目资产</w:t>
      </w:r>
      <w:r>
        <w:rPr>
          <w:rFonts w:hint="eastAsia" w:ascii="仿宋_GB2312" w:hAnsi="仿宋_GB2312" w:cs="仿宋_GB2312"/>
          <w:color w:val="000000" w:themeColor="text1"/>
          <w:sz w:val="32"/>
          <w:szCs w:val="32"/>
          <w:highlight w:val="none"/>
          <w:lang w:eastAsia="zh-CN"/>
          <w14:textFill>
            <w14:solidFill>
              <w14:schemeClr w14:val="tx1"/>
            </w14:solidFill>
          </w14:textFill>
        </w:rPr>
        <w:t>，原则上</w:t>
      </w:r>
      <w:r>
        <w:rPr>
          <w:rFonts w:hint="eastAsia" w:ascii="仿宋_GB2312" w:hAnsi="仿宋_GB2312" w:eastAsia="仿宋_GB2312" w:cs="仿宋_GB2312"/>
          <w:color w:val="000000" w:themeColor="text1"/>
          <w:sz w:val="32"/>
          <w:szCs w:val="32"/>
          <w:highlight w:val="none"/>
          <w14:textFill>
            <w14:solidFill>
              <w14:schemeClr w14:val="tx1"/>
            </w14:solidFill>
          </w14:textFill>
        </w:rPr>
        <w:t>都要建立联农带农机制，</w:t>
      </w:r>
      <w:r>
        <w:rPr>
          <w:rFonts w:hint="eastAsia" w:ascii="仿宋_GB2312" w:hAnsi="仿宋_GB2312" w:cs="仿宋_GB2312"/>
          <w:color w:val="000000" w:themeColor="text1"/>
          <w:sz w:val="32"/>
          <w:szCs w:val="32"/>
          <w:highlight w:val="none"/>
          <w:lang w:eastAsia="zh-CN"/>
          <w14:textFill>
            <w14:solidFill>
              <w14:schemeClr w14:val="tx1"/>
            </w14:solidFill>
          </w14:textFill>
        </w:rPr>
        <w:t>资产</w:t>
      </w:r>
      <w:r>
        <w:rPr>
          <w:rFonts w:hint="eastAsia" w:ascii="仿宋_GB2312" w:hAnsi="仿宋_GB2312" w:eastAsia="仿宋_GB2312" w:cs="仿宋_GB2312"/>
          <w:color w:val="000000" w:themeColor="text1"/>
          <w:sz w:val="32"/>
          <w:szCs w:val="32"/>
          <w:highlight w:val="none"/>
          <w14:textFill>
            <w14:solidFill>
              <w14:schemeClr w14:val="tx1"/>
            </w14:solidFill>
          </w14:textFill>
        </w:rPr>
        <w:t>经营主体要落实联农带农责任。</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第九条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其他资金支持的经营性帮扶项目，具备条件的鼓励建立联农带农机制，采取多种方式带动农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户受益。</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第四章  增强联农带农能力</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第十条  培育壮大农牧业经营主体</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auto"/>
          <w:kern w:val="2"/>
          <w:sz w:val="32"/>
          <w:szCs w:val="32"/>
          <w:highlight w:val="none"/>
          <w:lang w:val="en-US" w:eastAsia="zh-CN" w:bidi="ar-SA"/>
        </w:rPr>
        <w:t>加大</w:t>
      </w:r>
      <w:r>
        <w:rPr>
          <w:rFonts w:hint="eastAsia" w:ascii="仿宋_GB2312" w:hAnsi="仿宋_GB2312" w:cs="仿宋_GB2312"/>
          <w:color w:val="auto"/>
          <w:kern w:val="2"/>
          <w:sz w:val="32"/>
          <w:szCs w:val="32"/>
          <w:highlight w:val="none"/>
          <w:lang w:val="en-US" w:eastAsia="zh-CN" w:bidi="ar-SA"/>
        </w:rPr>
        <w:t>对</w:t>
      </w:r>
      <w:r>
        <w:rPr>
          <w:rFonts w:hint="eastAsia" w:ascii="仿宋_GB2312" w:hAnsi="仿宋_GB2312" w:eastAsia="仿宋_GB2312" w:cs="仿宋_GB2312"/>
          <w:color w:val="auto"/>
          <w:kern w:val="2"/>
          <w:sz w:val="32"/>
          <w:szCs w:val="32"/>
          <w:highlight w:val="none"/>
          <w:lang w:val="en-US" w:eastAsia="zh-CN" w:bidi="ar-SA"/>
        </w:rPr>
        <w:t>龙头企业、农牧民专业合作社、家庭农牧场、专业大户等农牧业经营主体培育力度，在龙头企业推荐、合作社评定、产业化项目安排方面给予倾斜。支持</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企业+基地+农牧户</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合作社+</w:t>
      </w:r>
      <w:r>
        <w:rPr>
          <w:rFonts w:hint="eastAsia" w:ascii="仿宋_GB2312" w:hAnsi="仿宋_GB2312" w:cs="仿宋_GB2312"/>
          <w:color w:val="auto"/>
          <w:kern w:val="2"/>
          <w:sz w:val="32"/>
          <w:szCs w:val="32"/>
          <w:highlight w:val="none"/>
          <w:lang w:val="en-US" w:eastAsia="zh-CN" w:bidi="ar-SA"/>
        </w:rPr>
        <w:t>农牧</w:t>
      </w:r>
      <w:r>
        <w:rPr>
          <w:rFonts w:hint="eastAsia" w:ascii="仿宋_GB2312" w:hAnsi="仿宋_GB2312" w:eastAsia="仿宋_GB2312" w:cs="仿宋_GB2312"/>
          <w:color w:val="auto"/>
          <w:kern w:val="2"/>
          <w:sz w:val="32"/>
          <w:szCs w:val="32"/>
          <w:highlight w:val="none"/>
          <w:lang w:val="en-US" w:eastAsia="zh-CN" w:bidi="ar-SA"/>
        </w:rPr>
        <w:t>户</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等产业发展模式</w:t>
      </w:r>
      <w:r>
        <w:rPr>
          <w:rFonts w:hint="eastAsia" w:ascii="仿宋_GB2312" w:hAnsi="仿宋_GB2312" w:cs="仿宋_GB2312"/>
          <w:color w:val="auto"/>
          <w:kern w:val="2"/>
          <w:sz w:val="32"/>
          <w:szCs w:val="32"/>
          <w:highlight w:val="none"/>
          <w:lang w:val="en-US" w:eastAsia="zh-CN" w:bidi="ar-SA"/>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不断提升农牧业经营主体发展水平和带动能力。</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（二）鼓励农牧业经营主体在具备条件的</w:t>
      </w:r>
      <w:r>
        <w:rPr>
          <w:rFonts w:hint="eastAsia" w:ascii="仿宋_GB2312" w:hAnsi="仿宋_GB2312" w:cs="仿宋_GB2312"/>
          <w:color w:val="auto"/>
          <w:sz w:val="32"/>
          <w:szCs w:val="32"/>
          <w:highlight w:val="none"/>
          <w:lang w:val="en-US" w:eastAsia="zh-CN"/>
        </w:rPr>
        <w:t>嘎查</w:t>
      </w:r>
      <w:r>
        <w:rPr>
          <w:rFonts w:hint="eastAsia" w:ascii="仿宋_GB2312" w:hAnsi="仿宋_GB2312" w:eastAsia="仿宋_GB2312" w:cs="仿宋_GB2312"/>
          <w:color w:val="auto"/>
          <w:sz w:val="32"/>
          <w:szCs w:val="32"/>
          <w:highlight w:val="none"/>
          <w:lang w:val="en-US" w:eastAsia="zh-CN"/>
        </w:rPr>
        <w:t>村建设生产基地，加强田头市场、产地储藏、保鲜烘干、食品加工、物流配送等产业设施建设，将适合就地承接的采购订单和劳务等提供给农</w:t>
      </w:r>
      <w:r>
        <w:rPr>
          <w:rFonts w:hint="eastAsia" w:ascii="仿宋_GB2312" w:hAnsi="仿宋_GB2312" w:cs="仿宋_GB2312"/>
          <w:color w:val="auto"/>
          <w:sz w:val="32"/>
          <w:szCs w:val="32"/>
          <w:highlight w:val="none"/>
          <w:lang w:val="en-US" w:eastAsia="zh-CN"/>
        </w:rPr>
        <w:t>牧</w:t>
      </w:r>
      <w:r>
        <w:rPr>
          <w:rFonts w:hint="eastAsia" w:ascii="仿宋_GB2312" w:hAnsi="仿宋_GB2312" w:eastAsia="仿宋_GB2312" w:cs="仿宋_GB2312"/>
          <w:color w:val="auto"/>
          <w:sz w:val="32"/>
          <w:szCs w:val="32"/>
          <w:highlight w:val="none"/>
          <w:lang w:val="en-US" w:eastAsia="zh-CN"/>
        </w:rPr>
        <w:t>民专业合作社、</w:t>
      </w:r>
      <w:r>
        <w:rPr>
          <w:rFonts w:hint="eastAsia" w:ascii="仿宋_GB2312" w:hAnsi="仿宋_GB2312" w:cs="仿宋_GB2312"/>
          <w:color w:val="auto"/>
          <w:sz w:val="32"/>
          <w:szCs w:val="32"/>
          <w:highlight w:val="none"/>
          <w:lang w:val="en-US" w:eastAsia="zh-CN"/>
        </w:rPr>
        <w:t>嘎查</w:t>
      </w:r>
      <w:r>
        <w:rPr>
          <w:rFonts w:hint="eastAsia" w:ascii="仿宋_GB2312" w:hAnsi="仿宋_GB2312" w:eastAsia="仿宋_GB2312" w:cs="仿宋_GB2312"/>
          <w:color w:val="auto"/>
          <w:sz w:val="32"/>
          <w:szCs w:val="32"/>
          <w:highlight w:val="none"/>
          <w:lang w:val="en-US" w:eastAsia="zh-CN"/>
        </w:rPr>
        <w:t>村集体经济组织或农</w:t>
      </w:r>
      <w:r>
        <w:rPr>
          <w:rFonts w:hint="eastAsia" w:ascii="仿宋_GB2312" w:hAnsi="仿宋_GB2312" w:cs="仿宋_GB2312"/>
          <w:color w:val="auto"/>
          <w:sz w:val="32"/>
          <w:szCs w:val="32"/>
          <w:highlight w:val="none"/>
          <w:lang w:val="en-US" w:eastAsia="zh-CN"/>
        </w:rPr>
        <w:t>牧</w:t>
      </w:r>
      <w:r>
        <w:rPr>
          <w:rFonts w:hint="eastAsia" w:ascii="仿宋_GB2312" w:hAnsi="仿宋_GB2312" w:eastAsia="仿宋_GB2312" w:cs="仿宋_GB2312"/>
          <w:color w:val="auto"/>
          <w:sz w:val="32"/>
          <w:szCs w:val="32"/>
          <w:highlight w:val="none"/>
          <w:lang w:val="en-US" w:eastAsia="zh-CN"/>
        </w:rPr>
        <w:t>户。</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第十一条  加强产业园区建设</w:t>
      </w:r>
    </w:p>
    <w:p>
      <w:pPr>
        <w:pStyle w:val="6"/>
        <w:keepNext w:val="0"/>
        <w:keepLines w:val="0"/>
        <w:pageBreakBefore w:val="0"/>
        <w:widowControl/>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（一）</w:t>
      </w:r>
      <w:r>
        <w:rPr>
          <w:rFonts w:hint="eastAsia" w:ascii="仿宋_GB2312" w:hAnsi="仿宋_GB2312" w:eastAsia="仿宋_GB2312" w:cs="仿宋_GB2312"/>
          <w:color w:val="auto"/>
          <w:kern w:val="2"/>
          <w:sz w:val="32"/>
          <w:szCs w:val="32"/>
          <w:highlight w:val="none"/>
          <w:lang w:val="en-US" w:eastAsia="zh-CN" w:bidi="ar-SA"/>
        </w:rPr>
        <w:t>支持各地培育壮大特色优势产业，</w:t>
      </w:r>
      <w:r>
        <w:rPr>
          <w:rFonts w:hint="eastAsia" w:ascii="仿宋_GB2312" w:hAnsi="仿宋_GB2312" w:cs="仿宋_GB2312"/>
          <w:color w:val="auto"/>
          <w:kern w:val="2"/>
          <w:sz w:val="32"/>
          <w:szCs w:val="32"/>
          <w:highlight w:val="none"/>
          <w:lang w:val="en-US" w:eastAsia="zh-CN" w:bidi="ar-SA"/>
        </w:rPr>
        <w:t>帮扶资金</w:t>
      </w:r>
      <w:r>
        <w:rPr>
          <w:rFonts w:hint="eastAsia" w:ascii="仿宋_GB2312" w:hAnsi="仿宋_GB2312" w:eastAsia="仿宋_GB2312" w:cs="仿宋_GB2312"/>
          <w:color w:val="auto"/>
          <w:sz w:val="32"/>
          <w:szCs w:val="32"/>
          <w:highlight w:val="none"/>
          <w:lang w:val="en-US" w:eastAsia="zh-CN"/>
        </w:rPr>
        <w:t>投入</w:t>
      </w:r>
      <w:r>
        <w:rPr>
          <w:rFonts w:hint="eastAsia" w:ascii="仿宋_GB2312" w:hAnsi="仿宋_GB2312" w:cs="仿宋_GB2312"/>
          <w:color w:val="auto"/>
          <w:sz w:val="32"/>
          <w:szCs w:val="32"/>
          <w:highlight w:val="none"/>
          <w:lang w:val="en-US" w:eastAsia="zh-CN"/>
        </w:rPr>
        <w:t>应优先形成</w:t>
      </w:r>
      <w:r>
        <w:rPr>
          <w:rFonts w:hint="eastAsia" w:ascii="仿宋_GB2312" w:hAnsi="仿宋_GB2312" w:eastAsia="仿宋_GB2312" w:cs="仿宋_GB2312"/>
          <w:color w:val="auto"/>
          <w:sz w:val="32"/>
          <w:szCs w:val="32"/>
          <w:highlight w:val="none"/>
          <w:lang w:val="en-US" w:eastAsia="zh-CN"/>
        </w:rPr>
        <w:t>固定资产，</w:t>
      </w:r>
      <w:r>
        <w:rPr>
          <w:rFonts w:hint="eastAsia" w:ascii="仿宋_GB2312" w:hAnsi="仿宋_GB2312" w:eastAsia="仿宋_GB2312" w:cs="仿宋_GB2312"/>
          <w:color w:val="auto"/>
          <w:kern w:val="2"/>
          <w:sz w:val="32"/>
          <w:szCs w:val="32"/>
          <w:highlight w:val="none"/>
          <w:lang w:val="en-US" w:eastAsia="zh-CN" w:bidi="ar-SA"/>
        </w:rPr>
        <w:t>围绕奶牛、肉牛、肉羊、马铃薯、羊绒、玉米等</w:t>
      </w:r>
      <w:r>
        <w:rPr>
          <w:rFonts w:hint="eastAsia" w:ascii="仿宋_GB2312" w:hAnsi="仿宋_GB2312" w:cs="仿宋_GB2312"/>
          <w:color w:val="auto"/>
          <w:kern w:val="2"/>
          <w:sz w:val="32"/>
          <w:szCs w:val="32"/>
          <w:highlight w:val="none"/>
          <w:lang w:val="en-US" w:eastAsia="zh-CN" w:bidi="ar-SA"/>
        </w:rPr>
        <w:t>产业链的</w:t>
      </w:r>
      <w:r>
        <w:rPr>
          <w:rFonts w:hint="eastAsia" w:ascii="仿宋_GB2312" w:hAnsi="仿宋_GB2312" w:eastAsia="仿宋_GB2312" w:cs="仿宋_GB2312"/>
          <w:color w:val="auto"/>
          <w:kern w:val="2"/>
          <w:sz w:val="32"/>
          <w:szCs w:val="32"/>
          <w:highlight w:val="none"/>
          <w:lang w:val="en-US" w:eastAsia="zh-CN" w:bidi="ar-SA"/>
        </w:rPr>
        <w:t>长期培育发展，推动优势特色农牧业、农畜产品加工业等产业园区建设，建设标准化生产、加工、仓储基地，积极打造全链条产业，促进特色产业发展</w:t>
      </w:r>
      <w:r>
        <w:rPr>
          <w:rFonts w:hint="eastAsia" w:ascii="仿宋_GB2312" w:hAnsi="仿宋_GB2312" w:cs="仿宋_GB2312"/>
          <w:color w:val="auto"/>
          <w:kern w:val="2"/>
          <w:sz w:val="32"/>
          <w:szCs w:val="32"/>
          <w:highlight w:val="none"/>
          <w:lang w:val="en-US" w:eastAsia="zh-CN" w:bidi="ar-SA"/>
        </w:rPr>
        <w:t>，提升监测对象和脱贫人口在生产、加工、经营等方面的参与度。</w:t>
      </w:r>
    </w:p>
    <w:p>
      <w:pPr>
        <w:pStyle w:val="6"/>
        <w:keepNext w:val="0"/>
        <w:keepLines w:val="0"/>
        <w:pageBreakBefore w:val="0"/>
        <w:widowControl/>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cs="仿宋_GB2312"/>
          <w:color w:val="000000" w:themeColor="text1"/>
          <w:kern w:val="2"/>
          <w:sz w:val="32"/>
          <w:szCs w:val="32"/>
          <w:highlight w:val="none"/>
          <w:lang w:val="en-US" w:eastAsia="zh-CN" w:bidi="ar-SA"/>
          <w14:textFill>
            <w14:solidFill>
              <w14:schemeClr w14:val="tx1"/>
            </w14:solidFill>
          </w14:textFill>
        </w:rPr>
        <w:t>（二）</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用好京蒙协作帮扶资源，</w:t>
      </w:r>
      <w:r>
        <w:rPr>
          <w:rFonts w:hint="eastAsia" w:ascii="仿宋_GB2312" w:hAnsi="仿宋_GB2312" w:cs="仿宋_GB2312"/>
          <w:color w:val="000000" w:themeColor="text1"/>
          <w:kern w:val="2"/>
          <w:sz w:val="32"/>
          <w:szCs w:val="32"/>
          <w:highlight w:val="none"/>
          <w:lang w:val="en-US" w:eastAsia="zh-CN" w:bidi="ar-SA"/>
          <w14:textFill>
            <w14:solidFill>
              <w14:schemeClr w14:val="tx1"/>
            </w14:solidFill>
          </w14:textFill>
        </w:rPr>
        <w:t>围绕产业链供应链延链强链补链建设，持续加强产业园区共建，加大企业引进力度，推动产业梯度转移。</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借助中央和自治区定点帮扶单位人才、技术、市场等各方面优势，</w:t>
      </w:r>
      <w:r>
        <w:rPr>
          <w:rFonts w:hint="eastAsia" w:ascii="仿宋_GB2312" w:hAnsi="仿宋_GB2312" w:eastAsia="仿宋_GB2312" w:cs="仿宋_GB2312"/>
          <w:b w:val="0"/>
          <w:i w:val="0"/>
          <w:caps w:val="0"/>
          <w:color w:val="222222"/>
          <w:spacing w:val="0"/>
          <w:kern w:val="0"/>
          <w:sz w:val="32"/>
          <w:szCs w:val="32"/>
          <w:highlight w:val="none"/>
          <w:shd w:val="clear" w:fill="FFFFFF"/>
          <w:lang w:val="en-US" w:eastAsia="zh-CN" w:bidi="ar"/>
        </w:rPr>
        <w:t>强化以企业合作为载体的帮扶协作，</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助力帮扶地区产业发展</w:t>
      </w:r>
      <w:r>
        <w:rPr>
          <w:rFonts w:hint="eastAsia" w:ascii="仿宋_GB2312" w:hAnsi="仿宋_GB2312" w:cs="仿宋_GB2312"/>
          <w:color w:val="000000" w:themeColor="text1"/>
          <w:kern w:val="2"/>
          <w:sz w:val="32"/>
          <w:szCs w:val="32"/>
          <w:highlight w:val="none"/>
          <w:lang w:val="en-US" w:eastAsia="zh-CN" w:bidi="ar-SA"/>
          <w14:textFill>
            <w14:solidFill>
              <w14:schemeClr w14:val="tx1"/>
            </w14:solidFill>
          </w14:textFill>
        </w:rPr>
        <w:t>，结合实际确定联农带农机制</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。深入推进“万</w:t>
      </w:r>
      <w:r>
        <w:rPr>
          <w:rFonts w:hint="eastAsia" w:ascii="仿宋_GB2312" w:hAnsi="仿宋_GB2312" w:eastAsia="仿宋_GB2312" w:cs="仿宋_GB2312"/>
          <w:color w:val="000000" w:themeColor="text1"/>
          <w:spacing w:val="-11"/>
          <w:kern w:val="2"/>
          <w:sz w:val="32"/>
          <w:szCs w:val="32"/>
          <w:highlight w:val="none"/>
          <w:lang w:val="en-US" w:eastAsia="zh-CN" w:bidi="ar-SA"/>
          <w14:textFill>
            <w14:solidFill>
              <w14:schemeClr w14:val="tx1"/>
            </w14:solidFill>
          </w14:textFill>
        </w:rPr>
        <w:t>企兴万村”行动，动员各地民营企业实施带动农牧户增收产业。</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）重点发展劳动密集型产业，提升县域就业容量</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，优先扶持监测对象和脱贫人口实现增收。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着力优化营商环境，细化落实支持措施，支持入园企业发展。</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第十二条  增强嘎查村集体经济组织发展活力</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（一）发挥基层党组织战斗堡垒作用，采取多种措施增强</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村集体经济组织发展活力，深入推进农村</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牧区集体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产权制度改革，加强</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村集体资产管理和运营，整合盘活农村</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牧区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各项资源要素，培育壮大集体经济</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实力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，夯实农</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户稳定收益的基础</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过渡期内经营性帮扶项目资产权属和收益尽</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可能</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下沉到村到户，确权到</w:t>
      </w:r>
      <w:r>
        <w:rPr>
          <w:rFonts w:hint="default" w:ascii="仿宋_GB2312" w:hAnsi="仿宋_GB2312" w:cs="仿宋_GB2312"/>
          <w:color w:val="000000" w:themeColor="text1"/>
          <w:sz w:val="32"/>
          <w:szCs w:val="32"/>
          <w:highlight w:val="none"/>
          <w:lang w:val="en"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村集体的经营性资产收益权量化到成员，在充分尊重成员意见的基础上可将集体收益优先用于</w:t>
      </w:r>
      <w:r>
        <w:rPr>
          <w:rFonts w:hint="default" w:ascii="仿宋_GB2312" w:hAnsi="仿宋_GB2312" w:cs="仿宋_GB2312"/>
          <w:color w:val="000000" w:themeColor="text1"/>
          <w:sz w:val="32"/>
          <w:szCs w:val="32"/>
          <w:highlight w:val="none"/>
          <w:lang w:val="en" w:eastAsia="zh-CN"/>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监测对象和脱贫人口</w:t>
      </w:r>
      <w:r>
        <w:rPr>
          <w:rFonts w:hint="default" w:ascii="仿宋_GB2312" w:hAnsi="仿宋_GB2312" w:cs="仿宋_GB2312"/>
          <w:color w:val="000000" w:themeColor="text1"/>
          <w:sz w:val="32"/>
          <w:szCs w:val="32"/>
          <w:highlight w:val="none"/>
          <w:lang w:val="en" w:eastAsia="zh-CN"/>
          <w14:textFill>
            <w14:solidFill>
              <w14:schemeClr w14:val="tx1"/>
            </w14:solidFill>
          </w14:textFill>
        </w:rPr>
        <w:t>改善生产生活条件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帮扶项目产生的</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村集体经济收益重点用于产业基础设施</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乡村公益性岗位</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项目运营维护</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村级公益事业</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监测对象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帮扶</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智志双扶奖励</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小型公益性基础设施建设</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r>
        <w:rPr>
          <w:rFonts w:hint="eastAsia" w:ascii="仿宋_GB2312" w:hAnsi="仿宋_GB2312" w:cs="仿宋_GB2312"/>
          <w:color w:val="000000" w:themeColor="text1"/>
          <w:sz w:val="32"/>
          <w:szCs w:val="32"/>
          <w:highlight w:val="none"/>
          <w:lang w:val="en" w:eastAsia="zh-CN"/>
          <w14:textFill>
            <w14:solidFill>
              <w14:schemeClr w14:val="tx1"/>
            </w14:solidFill>
          </w14:textFill>
        </w:rPr>
        <w:t>乡村治理、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壮大嘎查村集体经济、优势特色产业发展与提质增效</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以及其他与巩固拓展脱贫攻坚成果和推进乡村振兴的相关项目。</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pPr>
      <w:r>
        <w:rPr>
          <w:rFonts w:hint="default" w:ascii="仿宋_GB2312" w:hAnsi="仿宋_GB2312" w:cs="仿宋_GB2312"/>
          <w:color w:val="000000" w:themeColor="text1"/>
          <w:sz w:val="32"/>
          <w:szCs w:val="32"/>
          <w:highlight w:val="none"/>
          <w:lang w:val="en"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帮扶项目产生的</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村集体经济收益杜绝简单发钱发物，防止“一股了之”“一发了之”和“泛福利化”</w:t>
      </w:r>
      <w:r>
        <w:rPr>
          <w:rFonts w:hint="default" w:ascii="仿宋_GB2312" w:hAnsi="仿宋_GB2312" w:cs="仿宋_GB2312"/>
          <w:color w:val="000000" w:themeColor="text1"/>
          <w:sz w:val="32"/>
          <w:szCs w:val="32"/>
          <w:highlight w:val="none"/>
          <w:lang w:val="en"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第十三条  支持就业帮扶车间升级发展</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进一步支持就业帮扶车间升级发展，</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按照带动监测对象和脱贫人口情况分类</w:t>
      </w:r>
      <w:r>
        <w:rPr>
          <w:rFonts w:hint="eastAsia" w:ascii="仿宋_GB2312" w:hAnsi="仿宋_GB2312" w:cs="仿宋_GB2312"/>
          <w:sz w:val="32"/>
          <w:szCs w:val="32"/>
          <w:highlight w:val="none"/>
          <w:lang w:eastAsia="zh-CN"/>
        </w:rPr>
        <w:t>健全完善</w:t>
      </w:r>
      <w:r>
        <w:rPr>
          <w:rFonts w:hint="eastAsia" w:ascii="仿宋_GB2312" w:hAnsi="仿宋_GB2312" w:eastAsia="仿宋_GB2312" w:cs="仿宋_GB2312"/>
          <w:sz w:val="32"/>
          <w:szCs w:val="32"/>
          <w:highlight w:val="none"/>
        </w:rPr>
        <w:t>鼓励政策</w:t>
      </w:r>
      <w:r>
        <w:rPr>
          <w:rFonts w:hint="eastAsia" w:ascii="仿宋_GB2312" w:hAnsi="仿宋_GB2312" w:eastAsia="仿宋_GB2312" w:cs="仿宋_GB2312"/>
          <w:sz w:val="32"/>
          <w:szCs w:val="32"/>
          <w:highlight w:val="none"/>
          <w:lang w:eastAsia="zh-CN"/>
        </w:rPr>
        <w:t>，</w:t>
      </w:r>
      <w:r>
        <w:rPr>
          <w:rFonts w:hint="eastAsia" w:ascii="仿宋_GB2312" w:hAnsi="仿宋_GB2312" w:cs="仿宋_GB2312"/>
          <w:sz w:val="32"/>
          <w:szCs w:val="32"/>
          <w:highlight w:val="none"/>
          <w:lang w:eastAsia="zh-CN"/>
        </w:rPr>
        <w:t>丰富</w:t>
      </w:r>
      <w:r>
        <w:rPr>
          <w:rFonts w:hint="eastAsia" w:ascii="仿宋_GB2312" w:hAnsi="仿宋_GB2312" w:eastAsia="仿宋_GB2312" w:cs="仿宋_GB2312"/>
          <w:sz w:val="32"/>
          <w:szCs w:val="32"/>
          <w:highlight w:val="none"/>
        </w:rPr>
        <w:t>就业帮扶载体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进一步扩大帮扶车间创建规模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引导就业帮扶车间吸纳更多农村</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牧区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劳动力就地就近稳定就业。</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default" w:ascii="仿宋_GB2312" w:hAnsi="仿宋_GB2312" w:eastAsia="仿宋_GB2312" w:cs="仿宋_GB2312"/>
          <w:color w:val="auto"/>
          <w:sz w:val="32"/>
          <w:szCs w:val="32"/>
          <w:highlight w:val="none"/>
          <w:lang w:val="en" w:eastAsia="zh-CN"/>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对具有较好市场前景</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且具有较强吸纳农村牧区劳动力就业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的帮扶车间，积极支持其发展壮大，</w:t>
      </w:r>
      <w:r>
        <w:rPr>
          <w:rFonts w:hint="eastAsia" w:ascii="仿宋_GB2312" w:hAnsi="仿宋_GB2312" w:eastAsia="仿宋_GB2312" w:cs="仿宋_GB2312"/>
          <w:sz w:val="32"/>
          <w:szCs w:val="32"/>
          <w:highlight w:val="none"/>
        </w:rPr>
        <w:t>创新运用好</w:t>
      </w:r>
      <w:r>
        <w:rPr>
          <w:rFonts w:hint="eastAsia" w:ascii="仿宋_GB2312" w:hAnsi="仿宋_GB2312" w:eastAsia="仿宋_GB2312" w:cs="仿宋_GB2312"/>
          <w:color w:val="auto"/>
          <w:sz w:val="32"/>
          <w:szCs w:val="32"/>
          <w:highlight w:val="none"/>
        </w:rPr>
        <w:t>厂房式、居家式、基地式、融合式发</w:t>
      </w:r>
      <w:r>
        <w:rPr>
          <w:rFonts w:hint="eastAsia" w:ascii="仿宋_GB2312" w:hAnsi="仿宋_GB2312" w:eastAsia="仿宋_GB2312" w:cs="仿宋_GB2312"/>
          <w:sz w:val="32"/>
          <w:szCs w:val="32"/>
          <w:highlight w:val="none"/>
        </w:rPr>
        <w:t>展模式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auto"/>
          <w:sz w:val="32"/>
          <w:szCs w:val="32"/>
          <w:highlight w:val="none"/>
        </w:rPr>
        <w:t>落实就业帮扶车间奖补政策</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推动帮扶车间发展成为稳定吸纳就业的产业</w:t>
      </w:r>
      <w:r>
        <w:rPr>
          <w:rFonts w:hint="default" w:ascii="仿宋_GB2312" w:hAnsi="仿宋_GB2312" w:cs="仿宋_GB2312"/>
          <w:color w:val="auto"/>
          <w:sz w:val="32"/>
          <w:szCs w:val="32"/>
          <w:highlight w:val="none"/>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积极盘活闲置的就业帮扶车间，调整优化</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运营模式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，提升经营带动能力。</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第五章  规范联农带农方式</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联农带农方式</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主要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包括：</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吸纳就业、设置公益岗位、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订单生产、托管代养、代耕代种、产品代销、保护价收购、技术服务（种养殖技术及品种改良</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）、股份合作、土地流转、</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房屋租赁、以工代赈及其他为农牧户带来实际收益、增加收入的方式。</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auto"/>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第十五条  </w:t>
      </w:r>
      <w:r>
        <w:rPr>
          <w:rFonts w:hint="eastAsia" w:ascii="楷体_GB2312" w:hAnsi="楷体_GB2312" w:eastAsia="楷体_GB2312" w:cs="楷体_GB2312"/>
          <w:color w:val="auto"/>
          <w:sz w:val="32"/>
          <w:szCs w:val="32"/>
          <w:highlight w:val="none"/>
          <w:lang w:val="en-US" w:eastAsia="zh-CN"/>
        </w:rPr>
        <w:t>直接</w:t>
      </w: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带动农牧户发展生产</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加大到户项目支持力度，灵活采取先建后补、以奖代补等方式，支持监测对象</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脱贫</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人口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发展“短平快”增收小产业。</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default" w:ascii="仿宋_GB2312" w:hAnsi="仿宋_GB2312" w:eastAsia="仿宋_GB2312" w:cs="仿宋_GB2312"/>
          <w:color w:val="000000" w:themeColor="text1"/>
          <w:sz w:val="32"/>
          <w:szCs w:val="32"/>
          <w:highlight w:val="none"/>
          <w:lang w:val="en"/>
          <w14:textFill>
            <w14:solidFill>
              <w14:schemeClr w14:val="tx1"/>
            </w14:solidFill>
          </w14:textFill>
        </w:rPr>
      </w:pPr>
      <w:r>
        <w:rPr>
          <w:rFonts w:hint="eastAsia" w:ascii="仿宋_GB2312" w:hAnsi="仿宋_GB2312" w:cs="仿宋_GB2312"/>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积极推行经营主体直接带动农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户发展生产的利益联结模式，引导支持经营主体与农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户通过</w:t>
      </w:r>
      <w:r>
        <w:rPr>
          <w:rFonts w:hint="eastAsia" w:ascii="仿宋_GB2312" w:hAnsi="仿宋_GB2312" w:cs="仿宋_GB2312"/>
          <w:color w:val="000000" w:themeColor="text1"/>
          <w:sz w:val="32"/>
          <w:szCs w:val="32"/>
          <w:highlight w:val="none"/>
          <w:lang w:eastAsia="zh-CN"/>
          <w14:textFill>
            <w14:solidFill>
              <w14:schemeClr w14:val="tx1"/>
            </w14:solidFill>
          </w14:textFill>
        </w:rPr>
        <w:t>订单生产、</w:t>
      </w:r>
      <w:r>
        <w:rPr>
          <w:rFonts w:hint="eastAsia" w:ascii="仿宋_GB2312" w:hAnsi="仿宋_GB2312" w:eastAsia="仿宋_GB2312" w:cs="仿宋_GB2312"/>
          <w:color w:val="000000" w:themeColor="text1"/>
          <w:sz w:val="32"/>
          <w:szCs w:val="32"/>
          <w:highlight w:val="none"/>
          <w14:textFill>
            <w14:solidFill>
              <w14:schemeClr w14:val="tx1"/>
            </w14:solidFill>
          </w14:textFill>
        </w:rPr>
        <w:t>托养托管</w:t>
      </w:r>
      <w:r>
        <w:rPr>
          <w:rFonts w:hint="eastAsia" w:ascii="仿宋_GB2312" w:hAnsi="仿宋_GB2312" w:cs="仿宋_GB2312"/>
          <w:color w:val="000000" w:themeColor="text1"/>
          <w:sz w:val="32"/>
          <w:szCs w:val="32"/>
          <w:highlight w:val="none"/>
          <w:lang w:val="en" w:eastAsia="zh-CN"/>
          <w14:textFill>
            <w14:solidFill>
              <w14:schemeClr w14:val="tx1"/>
            </w14:solidFill>
          </w14:textFill>
        </w:rPr>
        <w:t>、代耕代种、</w:t>
      </w:r>
      <w:r>
        <w:rPr>
          <w:rFonts w:hint="eastAsia" w:ascii="仿宋_GB2312" w:hAnsi="仿宋_GB2312" w:eastAsia="仿宋_GB2312" w:cs="仿宋_GB2312"/>
          <w:color w:val="000000" w:themeColor="text1"/>
          <w:sz w:val="32"/>
          <w:szCs w:val="32"/>
          <w:highlight w:val="none"/>
          <w14:textFill>
            <w14:solidFill>
              <w14:schemeClr w14:val="tx1"/>
            </w14:solidFill>
          </w14:textFill>
        </w:rPr>
        <w:t>产品代销</w:t>
      </w:r>
      <w:r>
        <w:rPr>
          <w:rFonts w:hint="default" w:ascii="仿宋_GB2312" w:hAnsi="仿宋_GB2312" w:cs="仿宋_GB2312"/>
          <w:color w:val="000000" w:themeColor="text1"/>
          <w:sz w:val="32"/>
          <w:szCs w:val="32"/>
          <w:highlight w:val="none"/>
          <w:lang w:val="e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保护价收购</w:t>
      </w:r>
      <w:r>
        <w:rPr>
          <w:rFonts w:hint="default" w:ascii="仿宋_GB2312" w:hAnsi="仿宋_GB2312" w:eastAsia="仿宋_GB2312" w:cs="仿宋_GB2312"/>
          <w:color w:val="000000" w:themeColor="text1"/>
          <w:sz w:val="32"/>
          <w:szCs w:val="32"/>
          <w:highlight w:val="none"/>
          <w:lang w:val="en" w:eastAsia="zh-CN"/>
          <w14:textFill>
            <w14:solidFill>
              <w14:schemeClr w14:val="tx1"/>
            </w14:solidFill>
          </w14:textFill>
        </w:rPr>
        <w:t>等</w:t>
      </w:r>
      <w:r>
        <w:rPr>
          <w:rFonts w:hint="eastAsia" w:ascii="仿宋_GB2312" w:hAnsi="仿宋_GB2312" w:cs="仿宋_GB2312"/>
          <w:color w:val="000000" w:themeColor="text1"/>
          <w:sz w:val="32"/>
          <w:szCs w:val="32"/>
          <w:highlight w:val="none"/>
          <w:lang w:val="en" w:eastAsia="zh-CN"/>
          <w14:textFill>
            <w14:solidFill>
              <w14:schemeClr w14:val="tx1"/>
            </w14:solidFill>
          </w14:textFill>
        </w:rPr>
        <w:t>多种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方式</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建立利益联结机制，把有发展意愿和能力的农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w:t>
      </w:r>
      <w:r>
        <w:rPr>
          <w:rFonts w:hint="eastAsia" w:ascii="仿宋_GB2312" w:hAnsi="仿宋_GB2312" w:cs="仿宋_GB2312"/>
          <w:color w:val="000000" w:themeColor="text1"/>
          <w:sz w:val="32"/>
          <w:szCs w:val="32"/>
          <w:highlight w:val="none"/>
          <w:lang w:eastAsia="zh-CN"/>
          <w14:textFill>
            <w14:solidFill>
              <w14:schemeClr w14:val="tx1"/>
            </w14:solidFill>
          </w14:textFill>
        </w:rPr>
        <w:t>吸附在产业链</w:t>
      </w:r>
      <w:r>
        <w:rPr>
          <w:rFonts w:hint="eastAsia" w:ascii="仿宋_GB2312" w:hAnsi="仿宋_GB2312" w:eastAsia="仿宋_GB2312" w:cs="仿宋_GB2312"/>
          <w:color w:val="000000" w:themeColor="text1"/>
          <w:sz w:val="32"/>
          <w:szCs w:val="32"/>
          <w:highlight w:val="none"/>
          <w14:textFill>
            <w14:solidFill>
              <w14:schemeClr w14:val="tx1"/>
            </w14:solidFill>
          </w14:textFill>
        </w:rPr>
        <w:t>中</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形</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成经营主体与农</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户在产业发展上优势互补、分工合作的格局</w:t>
      </w:r>
      <w:r>
        <w:rPr>
          <w:rFonts w:hint="eastAsia" w:ascii="仿宋_GB2312" w:hAnsi="仿宋_GB2312" w:cs="仿宋_GB2312"/>
          <w:color w:val="000000" w:themeColor="text1"/>
          <w:spacing w:val="-6"/>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（三）采用托养托管、代耕代种等方式带动增收的龙头企业、合作社等要确保所投入的资金资产保值</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帮扶资金或帮扶资金形成的</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资产部分随人而在，没有继承权，人不在时归</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村集体或转移给其他的监测</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对象或脱贫人口。</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default"/>
          <w:sz w:val="32"/>
          <w:szCs w:val="32"/>
          <w:lang w:val="en" w:eastAsia="zh-CN"/>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对于托管托养、代耕代种3年以上，经营效益好、</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履约能力强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或</w:t>
      </w:r>
      <w:r>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t>通过订单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生产、</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产品代销、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保护价收购、股</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份合作等方式</w:t>
      </w:r>
      <w:r>
        <w:rPr>
          <w:rFonts w:hint="default" w:ascii="仿宋_GB2312" w:hAnsi="仿宋_GB2312" w:cs="仿宋_GB2312"/>
          <w:color w:val="000000" w:themeColor="text1"/>
          <w:sz w:val="32"/>
          <w:szCs w:val="32"/>
          <w:highlight w:val="none"/>
          <w:lang w:val="en-US" w:eastAsia="zh-CN"/>
          <w14:textFill>
            <w14:solidFill>
              <w14:schemeClr w14:val="tx1"/>
            </w14:solidFill>
          </w14:textFill>
        </w:rPr>
        <w:t>带动</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监测对象和脱贫人口</w:t>
      </w:r>
      <w:r>
        <w:rPr>
          <w:rFonts w:hint="default" w:ascii="仿宋_GB2312" w:hAnsi="仿宋_GB2312" w:cs="仿宋_GB2312"/>
          <w:color w:val="000000" w:themeColor="text1"/>
          <w:sz w:val="32"/>
          <w:szCs w:val="32"/>
          <w:highlight w:val="none"/>
          <w:lang w:val="en-US" w:eastAsia="zh-CN"/>
          <w14:textFill>
            <w14:solidFill>
              <w14:schemeClr w14:val="tx1"/>
            </w14:solidFill>
          </w14:textFill>
        </w:rPr>
        <w:t>20户以上且每户年均</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增收2</w:t>
      </w:r>
      <w:r>
        <w:rPr>
          <w:rFonts w:hint="default" w:ascii="仿宋_GB2312" w:hAnsi="仿宋_GB2312" w:cs="仿宋_GB2312"/>
          <w:color w:val="000000" w:themeColor="text1"/>
          <w:sz w:val="32"/>
          <w:szCs w:val="32"/>
          <w:highlight w:val="none"/>
          <w:lang w:val="en-US" w:eastAsia="zh-CN"/>
          <w14:textFill>
            <w14:solidFill>
              <w14:schemeClr w14:val="tx1"/>
            </w14:solidFill>
          </w14:textFill>
        </w:rPr>
        <w:t>000</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元或人均增收1000</w:t>
      </w:r>
      <w:r>
        <w:rPr>
          <w:rFonts w:hint="default" w:ascii="仿宋_GB2312" w:hAnsi="仿宋_GB2312" w:cs="仿宋_GB2312"/>
          <w:color w:val="000000" w:themeColor="text1"/>
          <w:sz w:val="32"/>
          <w:szCs w:val="32"/>
          <w:highlight w:val="none"/>
          <w:lang w:val="en-US" w:eastAsia="zh-CN"/>
          <w14:textFill>
            <w14:solidFill>
              <w14:schemeClr w14:val="tx1"/>
            </w14:solidFill>
          </w14:textFill>
        </w:rPr>
        <w:t>元以上的</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龙头企业、合作社等</w:t>
      </w:r>
      <w:r>
        <w:rPr>
          <w:rFonts w:hint="default" w:ascii="仿宋_GB2312" w:hAnsi="仿宋_GB2312" w:cs="仿宋_GB2312"/>
          <w:color w:val="000000" w:themeColor="text1"/>
          <w:sz w:val="32"/>
          <w:szCs w:val="32"/>
          <w:highlight w:val="none"/>
          <w:lang w:val="en-US" w:eastAsia="zh-CN"/>
          <w14:textFill>
            <w14:solidFill>
              <w14:schemeClr w14:val="tx1"/>
            </w14:solidFill>
          </w14:textFill>
        </w:rPr>
        <w:t>，在合同结束时，</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可按监测对象和脱贫人口收益资金的10%</w:t>
      </w:r>
      <w:r>
        <w:rPr>
          <w:rFonts w:hint="default" w:ascii="仿宋_GB2312" w:hAnsi="仿宋_GB2312" w:cs="仿宋_GB2312"/>
          <w:color w:val="000000" w:themeColor="text1"/>
          <w:sz w:val="32"/>
          <w:szCs w:val="32"/>
          <w:highlight w:val="none"/>
          <w:lang w:val="en-US" w:eastAsia="zh-CN"/>
          <w14:textFill>
            <w14:solidFill>
              <w14:schemeClr w14:val="tx1"/>
            </w14:solidFill>
          </w14:textFill>
        </w:rPr>
        <w:t>给予奖补。</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奖补资金可从嘎查村集体经济收入和各</w:t>
      </w:r>
      <w:r>
        <w:rPr>
          <w:rFonts w:hint="eastAsia" w:ascii="仿宋_GB2312" w:hAnsi="仿宋_GB2312" w:cs="仿宋_GB2312"/>
          <w:color w:val="auto"/>
          <w:sz w:val="32"/>
          <w:szCs w:val="32"/>
          <w:highlight w:val="none"/>
          <w:lang w:val="en-US" w:eastAsia="zh-CN"/>
        </w:rPr>
        <w:t>级扶贫</w:t>
      </w:r>
      <w:r>
        <w:rPr>
          <w:rFonts w:hint="default" w:ascii="仿宋_GB2312" w:hAnsi="仿宋_GB2312" w:cs="仿宋_GB2312"/>
          <w:color w:val="auto"/>
          <w:sz w:val="32"/>
          <w:szCs w:val="32"/>
          <w:highlight w:val="none"/>
          <w:lang w:val="en" w:eastAsia="zh-CN"/>
        </w:rPr>
        <w:t>（帮扶）</w:t>
      </w:r>
      <w:r>
        <w:rPr>
          <w:rFonts w:hint="eastAsia" w:ascii="仿宋_GB2312" w:hAnsi="仿宋_GB2312" w:cs="仿宋_GB2312"/>
          <w:color w:val="auto"/>
          <w:sz w:val="32"/>
          <w:szCs w:val="32"/>
          <w:highlight w:val="none"/>
          <w:lang w:val="en-US" w:eastAsia="zh-CN"/>
        </w:rPr>
        <w:t>项</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目资产收益金中列支。</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第十六条  吸纳农村牧区劳动力稳定就业</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（一）积极推动经营主体</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通过吸纳就业等方式，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建立与农村牧区劳动力的利益联结</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机制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经营主体拓宽用工渠道，扩大用工数量，规范用工方式</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default" w:ascii="仿宋_GB2312" w:hAnsi="仿宋_GB2312" w:eastAsia="仿宋_GB2312" w:cs="仿宋_GB2312"/>
          <w:color w:val="000000" w:themeColor="text1"/>
          <w:sz w:val="32"/>
          <w:szCs w:val="32"/>
          <w:highlight w:val="none"/>
          <w:lang w:val="en"/>
          <w14:textFill>
            <w14:solidFill>
              <w14:schemeClr w14:val="tx1"/>
            </w14:solidFill>
          </w14:textFill>
        </w:rPr>
        <w:t>通过</w:t>
      </w:r>
      <w:r>
        <w:rPr>
          <w:rFonts w:hint="eastAsia" w:ascii="仿宋_GB2312" w:hAnsi="仿宋_GB2312" w:eastAsia="仿宋_GB2312" w:cs="仿宋_GB2312"/>
          <w:color w:val="000000" w:themeColor="text1"/>
          <w:sz w:val="32"/>
          <w:szCs w:val="32"/>
          <w:highlight w:val="none"/>
          <w14:textFill>
            <w14:solidFill>
              <w14:schemeClr w14:val="tx1"/>
            </w14:solidFill>
          </w14:textFill>
        </w:rPr>
        <w:t>优先雇用</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设立乡村公益性岗位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帮助</w:t>
      </w:r>
      <w:r>
        <w:rPr>
          <w:rFonts w:hint="eastAsia" w:ascii="仿宋_GB2312" w:hAnsi="仿宋_GB2312" w:eastAsia="仿宋_GB2312" w:cs="仿宋_GB2312"/>
          <w:color w:val="000000" w:themeColor="text1"/>
          <w:sz w:val="32"/>
          <w:szCs w:val="32"/>
          <w:highlight w:val="none"/>
          <w14:textFill>
            <w14:solidFill>
              <w14:schemeClr w14:val="tx1"/>
            </w14:solidFill>
          </w14:textFill>
        </w:rPr>
        <w:t>劳动能力较弱的农村</w:t>
      </w:r>
      <w:r>
        <w:rPr>
          <w:rFonts w:hint="default" w:ascii="仿宋_GB2312" w:hAnsi="仿宋_GB2312" w:cs="仿宋_GB2312"/>
          <w:color w:val="000000" w:themeColor="text1"/>
          <w:sz w:val="32"/>
          <w:szCs w:val="32"/>
          <w:highlight w:val="none"/>
          <w:lang w:val="en"/>
          <w14:textFill>
            <w14:solidFill>
              <w14:schemeClr w14:val="tx1"/>
            </w14:solidFill>
          </w14:textFill>
        </w:rPr>
        <w:t>牧区</w:t>
      </w:r>
      <w:r>
        <w:rPr>
          <w:rFonts w:hint="eastAsia" w:ascii="仿宋_GB2312" w:hAnsi="仿宋_GB2312" w:eastAsia="仿宋_GB2312" w:cs="仿宋_GB2312"/>
          <w:color w:val="000000" w:themeColor="text1"/>
          <w:sz w:val="32"/>
          <w:szCs w:val="32"/>
          <w:highlight w:val="none"/>
          <w14:textFill>
            <w14:solidFill>
              <w14:schemeClr w14:val="tx1"/>
            </w14:solidFill>
          </w14:textFill>
        </w:rPr>
        <w:t>劳动力实现就业增收</w:t>
      </w:r>
      <w:r>
        <w:rPr>
          <w:rFonts w:hint="eastAsia" w:ascii="仿宋_GB2312" w:hAnsi="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在农村牧区投资规模小、技术门槛低、前期工作简单、务工技能要求不高的人居环境、交通、小型水利等基础设施建设</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推广以工代赈</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方式，优先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吸纳农村牧区</w:t>
      </w:r>
      <w:r>
        <w:rPr>
          <w:rFonts w:hint="eastAsia" w:ascii="仿宋_GB2312" w:hAnsi="仿宋_GB2312" w:cs="仿宋_GB2312"/>
          <w:color w:val="000000" w:themeColor="text1"/>
          <w:sz w:val="32"/>
          <w:szCs w:val="32"/>
          <w:highlight w:val="none"/>
          <w:lang w:eastAsia="zh-CN"/>
          <w14:textFill>
            <w14:solidFill>
              <w14:schemeClr w14:val="tx1"/>
            </w14:solidFill>
          </w14:textFill>
        </w:rPr>
        <w:t>监测对象和脱贫人口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劳动力稳定就业，</w:t>
      </w:r>
      <w:r>
        <w:rPr>
          <w:rFonts w:hint="eastAsia" w:ascii="仿宋_GB2312" w:hAnsi="仿宋_GB2312" w:eastAsia="仿宋_GB2312" w:cs="仿宋_GB2312"/>
          <w:color w:val="000000" w:themeColor="text1"/>
          <w:sz w:val="32"/>
          <w:szCs w:val="32"/>
          <w:highlight w:val="none"/>
          <w14:textFill>
            <w14:solidFill>
              <w14:schemeClr w14:val="tx1"/>
            </w14:solidFill>
          </w14:textFill>
        </w:rPr>
        <w:t>增加工资性收入</w:t>
      </w:r>
      <w:r>
        <w:rPr>
          <w:rFonts w:hint="eastAsia" w:ascii="仿宋_GB2312" w:hAnsi="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 w:eastAsia="zh-CN"/>
        </w:rPr>
        <w:t>（二）</w:t>
      </w:r>
      <w:r>
        <w:rPr>
          <w:rFonts w:hint="eastAsia" w:ascii="仿宋_GB2312" w:hAnsi="仿宋_GB2312" w:eastAsia="仿宋_GB2312" w:cs="仿宋_GB2312"/>
          <w:color w:val="auto"/>
          <w:sz w:val="32"/>
          <w:szCs w:val="32"/>
          <w:highlight w:val="none"/>
          <w:lang w:val="en-US" w:eastAsia="zh-CN"/>
        </w:rPr>
        <w:t>帮扶资金扶持的经营性项目，每投入100万元帮扶资金，应至少带动</w:t>
      </w:r>
      <w:r>
        <w:rPr>
          <w:rFonts w:hint="eastAsia" w:ascii="仿宋_GB2312" w:hAnsi="仿宋_GB2312" w:cs="仿宋_GB2312"/>
          <w:color w:val="auto"/>
          <w:sz w:val="32"/>
          <w:szCs w:val="32"/>
          <w:highlight w:val="none"/>
          <w:lang w:eastAsia="zh-CN"/>
        </w:rPr>
        <w:t>监测对象和脱贫人口</w:t>
      </w:r>
      <w:r>
        <w:rPr>
          <w:rFonts w:hint="eastAsia" w:ascii="仿宋_GB2312" w:hAnsi="仿宋_GB2312" w:eastAsia="仿宋_GB2312" w:cs="仿宋_GB2312"/>
          <w:color w:val="auto"/>
          <w:sz w:val="32"/>
          <w:szCs w:val="32"/>
          <w:highlight w:val="none"/>
          <w:lang w:val="en-US" w:eastAsia="zh-CN"/>
        </w:rPr>
        <w:t>常年稳定就业1人或6个月以上2人，灵活就业100天以上3人。</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（三）对于吸纳脱贫人口和监测对象5人（含5人）以上</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依法签订劳动协议且稳定就业不低于6个月</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工资待遇不低于当地最低工资标准的龙头企业</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合作社等，可给予稳定吸纳就业资金奖补，奖补标准按照吸纳监测对象和脱贫人口人数、当地最低工资标准和3个月工作时间计算，原则上不超过监测对象和脱贫人口3个月工资总额的30%，每年可申请一次。奖补资金可从</w:t>
      </w:r>
      <w:r>
        <w:rPr>
          <w:rFonts w:hint="default" w:ascii="仿宋_GB2312" w:hAnsi="仿宋_GB2312" w:cs="仿宋_GB2312"/>
          <w:color w:val="000000" w:themeColor="text1"/>
          <w:sz w:val="32"/>
          <w:szCs w:val="32"/>
          <w:highlight w:val="none"/>
          <w:lang w:val="en" w:eastAsia="zh-CN"/>
          <w14:textFill>
            <w14:solidFill>
              <w14:schemeClr w14:val="tx1"/>
            </w14:solidFill>
          </w14:textFill>
        </w:rPr>
        <w:t>嘎查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村集体经济收入和各级扶贫</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项目资产收益金中列支。</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firstLine="632" w:firstLineChars="200"/>
        <w:jc w:val="both"/>
        <w:textAlignment w:val="baseline"/>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第十七条  促进农牧户共享资产收益</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cs="仿宋_GB2312"/>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使用帮扶资金的经营性项目，应明确所形成帮扶项目资产的产权归属和收益分配方式，并通过方案、协议等形式予以明确，确保发挥联农带农作用。</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引导支持农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户以资金、土地、房屋、自有设备等资产入股经营主体，以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保底收益+按股分红</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等方式获得收益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户通过土地流转、房屋租赁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等方式获得租金收益，增加农牧户财产性收益。</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default" w:ascii="仿宋_GB2312" w:hAnsi="仿宋_GB2312" w:eastAsia="仿宋_GB2312" w:cs="仿宋_GB2312"/>
          <w:color w:val="FF0000"/>
          <w:sz w:val="32"/>
          <w:szCs w:val="32"/>
          <w:highlight w:val="none"/>
          <w:lang w:val="en"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（三）对承担资产</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益项目的龙头企业、合作社等要进行专项审计，凡连续两年以上（含两年）经营亏损、资产负债率高、净资产规模小于</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帮扶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资金规模、存</w:t>
      </w:r>
      <w:r>
        <w:rPr>
          <w:rFonts w:hint="eastAsia" w:ascii="仿宋_GB2312" w:hAnsi="仿宋_GB2312" w:eastAsia="仿宋_GB2312" w:cs="仿宋_GB2312"/>
          <w:color w:val="auto"/>
          <w:sz w:val="32"/>
          <w:szCs w:val="32"/>
          <w:highlight w:val="none"/>
          <w:lang w:val="en-US" w:eastAsia="zh-CN"/>
        </w:rPr>
        <w:t>在失信或违法记录的企业，不得作为资产收益项目的承担主体。合作的企业、合作社和种养殖大户</w:t>
      </w:r>
      <w:r>
        <w:rPr>
          <w:rFonts w:hint="eastAsia" w:ascii="仿宋_GB2312" w:hAnsi="仿宋_GB2312" w:cs="仿宋_GB2312"/>
          <w:color w:val="auto"/>
          <w:sz w:val="32"/>
          <w:szCs w:val="32"/>
          <w:highlight w:val="none"/>
          <w:lang w:val="en-US" w:eastAsia="zh-CN"/>
        </w:rPr>
        <w:t>要投入一定的自筹资金</w:t>
      </w:r>
      <w:r>
        <w:rPr>
          <w:rFonts w:hint="eastAsia" w:ascii="仿宋_GB2312" w:hAnsi="仿宋_GB2312" w:eastAsia="仿宋_GB2312" w:cs="仿宋_GB2312"/>
          <w:color w:val="auto"/>
          <w:sz w:val="32"/>
          <w:szCs w:val="32"/>
          <w:highlight w:val="none"/>
          <w:lang w:val="en-US" w:eastAsia="zh-CN"/>
        </w:rPr>
        <w:t>，作为帮扶资金投入的担保或抵押，确保监测对象和脱贫人口或</w:t>
      </w:r>
      <w:r>
        <w:rPr>
          <w:rFonts w:hint="default" w:ascii="仿宋_GB2312" w:hAnsi="仿宋_GB2312" w:cs="仿宋_GB2312"/>
          <w:color w:val="auto"/>
          <w:sz w:val="32"/>
          <w:szCs w:val="32"/>
          <w:highlight w:val="none"/>
          <w:lang w:val="en" w:eastAsia="zh-CN"/>
        </w:rPr>
        <w:t>嘎查</w:t>
      </w:r>
      <w:r>
        <w:rPr>
          <w:rFonts w:hint="eastAsia" w:ascii="仿宋_GB2312" w:hAnsi="仿宋_GB2312" w:eastAsia="仿宋_GB2312" w:cs="仿宋_GB2312"/>
          <w:color w:val="auto"/>
          <w:sz w:val="32"/>
          <w:szCs w:val="32"/>
          <w:highlight w:val="none"/>
          <w:lang w:val="en-US" w:eastAsia="zh-CN"/>
        </w:rPr>
        <w:t>村集体经济利益有保障。</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第六章</w:t>
      </w:r>
      <w:r>
        <w:rPr>
          <w:rFonts w:hint="default" w:ascii="黑体" w:hAnsi="黑体" w:eastAsia="黑体" w:cs="黑体"/>
          <w:color w:val="000000" w:themeColor="text1"/>
          <w:sz w:val="32"/>
          <w:szCs w:val="32"/>
          <w:highlight w:val="none"/>
          <w:lang w:val="en"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紧盯风险防控</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color w:val="000000" w:themeColor="text1"/>
          <w:sz w:val="32"/>
          <w:szCs w:val="32"/>
          <w:highlight w:val="none"/>
          <w:lang w:val="en-US" w:eastAsia="zh-CN"/>
          <w14:textFill>
            <w14:solidFill>
              <w14:schemeClr w14:val="tx1"/>
            </w14:solidFill>
          </w14:textFill>
        </w:rPr>
        <w:t xml:space="preserve">第十八条  </w:t>
      </w:r>
      <w:r>
        <w:rPr>
          <w:rFonts w:hint="eastAsia" w:ascii="仿宋_GB2312" w:hAnsi="仿宋_GB2312" w:eastAsia="仿宋_GB2312" w:cs="仿宋_GB2312"/>
          <w:color w:val="auto"/>
          <w:sz w:val="32"/>
          <w:szCs w:val="32"/>
          <w:highlight w:val="none"/>
          <w:lang w:val="en-US" w:eastAsia="zh-CN"/>
        </w:rPr>
        <w:t>使用帮扶资金的经营性项目，在纳入巩固拓展脱贫攻坚成果和乡村振兴项目库时，</w:t>
      </w:r>
      <w:r>
        <w:rPr>
          <w:rFonts w:hint="eastAsia" w:ascii="仿宋_GB2312" w:hAnsi="仿宋_GB2312" w:cs="仿宋_GB2312"/>
          <w:color w:val="auto"/>
          <w:sz w:val="32"/>
          <w:szCs w:val="32"/>
          <w:highlight w:val="none"/>
          <w:lang w:val="en-US" w:eastAsia="zh-CN"/>
        </w:rPr>
        <w:t>各级乡村振兴部门要会同相关行业部门</w:t>
      </w:r>
      <w:r>
        <w:rPr>
          <w:rFonts w:hint="eastAsia" w:ascii="仿宋_GB2312" w:hAnsi="仿宋_GB2312" w:eastAsia="仿宋_GB2312" w:cs="仿宋_GB2312"/>
          <w:color w:val="auto"/>
          <w:sz w:val="32"/>
          <w:szCs w:val="32"/>
          <w:highlight w:val="none"/>
          <w:lang w:val="en-US" w:eastAsia="zh-CN"/>
        </w:rPr>
        <w:t>审核联农带农机制和预期成效，没有建立联农带农机制和</w:t>
      </w:r>
      <w:r>
        <w:rPr>
          <w:rFonts w:hint="eastAsia" w:ascii="仿宋_GB2312" w:hAnsi="仿宋_GB2312" w:cs="仿宋_GB2312"/>
          <w:color w:val="auto"/>
          <w:sz w:val="32"/>
          <w:szCs w:val="32"/>
          <w:highlight w:val="none"/>
          <w:lang w:val="en-US" w:eastAsia="zh-CN"/>
        </w:rPr>
        <w:t>未</w:t>
      </w:r>
      <w:r>
        <w:rPr>
          <w:rFonts w:hint="eastAsia" w:ascii="仿宋_GB2312" w:hAnsi="仿宋_GB2312" w:eastAsia="仿宋_GB2312" w:cs="仿宋_GB2312"/>
          <w:color w:val="auto"/>
          <w:sz w:val="32"/>
          <w:szCs w:val="32"/>
          <w:highlight w:val="none"/>
          <w:lang w:val="en-US" w:eastAsia="zh-CN"/>
        </w:rPr>
        <w:t>明确成效的，不得纳入项目库。未建立联农带农机制的经营性帮扶项目，不得审批实施。</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auto"/>
        <w:rPr>
          <w:rFonts w:hint="eastAsia" w:ascii="仿宋_GB2312" w:hAnsi="仿宋_GB2312" w:cs="仿宋_GB2312"/>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对已经实施的帮扶项目要加强监督检查</w:t>
      </w:r>
      <w:r>
        <w:rPr>
          <w:rFonts w:hint="eastAsia" w:ascii="仿宋_GB2312" w:hAnsi="仿宋_GB2312" w:eastAsia="仿宋_GB2312" w:cs="仿宋_GB2312"/>
          <w:color w:val="auto"/>
          <w:sz w:val="32"/>
          <w:szCs w:val="32"/>
          <w:highlight w:val="none"/>
          <w:lang w:val="en-US" w:eastAsia="zh-CN"/>
        </w:rPr>
        <w:t>，重点关注对监测对象</w:t>
      </w:r>
      <w:r>
        <w:rPr>
          <w:rFonts w:hint="eastAsia" w:ascii="仿宋_GB2312" w:hAnsi="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lang w:val="en-US" w:eastAsia="zh-CN"/>
        </w:rPr>
        <w:t>脱贫人口</w:t>
      </w:r>
      <w:r>
        <w:rPr>
          <w:rFonts w:hint="eastAsia" w:ascii="仿宋_GB2312" w:hAnsi="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eastAsia="zh-CN"/>
        </w:rPr>
        <w:t>收入影响，科学评估联农带农方式和效果</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做好风险防控和处置工作，确保产业运行安全。</w:t>
      </w:r>
      <w:r>
        <w:rPr>
          <w:rFonts w:hint="eastAsia" w:ascii="仿宋_GB2312" w:hAnsi="仿宋_GB2312" w:eastAsia="仿宋_GB2312" w:cs="仿宋_GB2312"/>
          <w:color w:val="000000" w:themeColor="text1"/>
          <w:sz w:val="32"/>
          <w:szCs w:val="32"/>
          <w:highlight w:val="none"/>
          <w14:textFill>
            <w14:solidFill>
              <w14:schemeClr w14:val="tx1"/>
            </w14:solidFill>
          </w14:textFill>
        </w:rPr>
        <w:t>对不履行带动责任或者带动效果差、资产闲置、经营亏损的帮扶项目，要</w:t>
      </w:r>
      <w:r>
        <w:rPr>
          <w:rFonts w:hint="eastAsia" w:ascii="仿宋_GB2312" w:hAnsi="仿宋_GB2312" w:eastAsia="仿宋_GB2312" w:cs="仿宋_GB2312"/>
          <w:color w:val="auto"/>
          <w:sz w:val="32"/>
          <w:szCs w:val="32"/>
          <w:highlight w:val="none"/>
          <w:lang w:val="en-US" w:eastAsia="zh-CN"/>
        </w:rPr>
        <w:t>妥善</w:t>
      </w:r>
      <w:r>
        <w:rPr>
          <w:rFonts w:hint="eastAsia" w:ascii="仿宋_GB2312" w:hAnsi="仿宋_GB2312" w:cs="仿宋_GB2312"/>
          <w:color w:val="auto"/>
          <w:sz w:val="32"/>
          <w:szCs w:val="32"/>
          <w:highlight w:val="none"/>
          <w:lang w:val="en-US" w:eastAsia="zh-CN"/>
        </w:rPr>
        <w:t>整改</w:t>
      </w:r>
      <w:r>
        <w:rPr>
          <w:rFonts w:hint="eastAsia" w:ascii="仿宋_GB2312" w:hAnsi="仿宋_GB2312" w:cs="仿宋_GB2312"/>
          <w:color w:val="auto"/>
          <w:sz w:val="32"/>
          <w:szCs w:val="32"/>
          <w:highlight w:val="none"/>
          <w:lang w:val="en" w:eastAsia="zh-CN"/>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对挂名帮扶却未产生带动效果的项目，要及时处置，</w:t>
      </w:r>
      <w:r>
        <w:rPr>
          <w:rFonts w:hint="default" w:ascii="仿宋_GB2312" w:hAnsi="仿宋_GB2312" w:cs="仿宋_GB2312"/>
          <w:color w:val="000000" w:themeColor="text1"/>
          <w:sz w:val="32"/>
          <w:szCs w:val="32"/>
          <w:highlight w:val="none"/>
          <w:lang w:val="en"/>
          <w14:textFill>
            <w14:solidFill>
              <w14:schemeClr w14:val="tx1"/>
            </w14:solidFill>
          </w14:textFill>
        </w:rPr>
        <w:t>千方百计防范有可能发生的社会风险，</w:t>
      </w:r>
      <w:r>
        <w:rPr>
          <w:rFonts w:hint="eastAsia" w:ascii="仿宋_GB2312" w:hAnsi="仿宋_GB2312" w:eastAsia="仿宋_GB2312" w:cs="仿宋_GB2312"/>
          <w:color w:val="000000" w:themeColor="text1"/>
          <w:sz w:val="32"/>
          <w:szCs w:val="32"/>
          <w:highlight w:val="none"/>
          <w14:textFill>
            <w14:solidFill>
              <w14:schemeClr w14:val="tx1"/>
            </w14:solidFill>
          </w14:textFill>
        </w:rPr>
        <w:t>坚决制止打着帮扶旗号从事与帮扶无关的活动</w:t>
      </w:r>
      <w:r>
        <w:rPr>
          <w:rFonts w:hint="eastAsia" w:ascii="仿宋_GB2312" w:hAnsi="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auto"/>
        <w:rPr>
          <w:rFonts w:hint="default" w:ascii="仿宋_GB2312" w:hAnsi="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第二十条  </w:t>
      </w:r>
      <w:r>
        <w:rPr>
          <w:rFonts w:hint="eastAsia" w:ascii="仿宋_GB2312" w:hAnsi="仿宋_GB2312" w:cs="仿宋_GB2312"/>
          <w:color w:val="auto"/>
          <w:sz w:val="32"/>
          <w:szCs w:val="32"/>
          <w:highlight w:val="none"/>
          <w:lang w:val="en-US" w:eastAsia="zh-CN"/>
        </w:rPr>
        <w:t>帮扶项目涉及市场准入、政府购买服务、优化营商环境等情形的，要引入公平性竞争机制，全过程公开，规避项目资金使用管理风险。</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第七章  加强组织领导</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第二十一条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各级</w:t>
      </w:r>
      <w:r>
        <w:rPr>
          <w:rFonts w:hint="eastAsia" w:ascii="仿宋_GB2312" w:hAnsi="仿宋_GB2312" w:eastAsia="仿宋_GB2312" w:cs="仿宋_GB2312"/>
          <w:color w:val="000000" w:themeColor="text1"/>
          <w:sz w:val="32"/>
          <w:szCs w:val="32"/>
          <w:highlight w:val="none"/>
          <w14:textFill>
            <w14:solidFill>
              <w14:schemeClr w14:val="tx1"/>
            </w14:solidFill>
          </w14:textFill>
        </w:rPr>
        <w:t>乡村振兴部门要进一步提高思想认识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加强统筹协调，</w:t>
      </w:r>
      <w:r>
        <w:rPr>
          <w:rFonts w:hint="eastAsia" w:ascii="仿宋_GB2312" w:hAnsi="仿宋_GB2312" w:eastAsia="仿宋_GB2312" w:cs="仿宋_GB2312"/>
          <w:color w:val="000000" w:themeColor="text1"/>
          <w:sz w:val="32"/>
          <w:szCs w:val="32"/>
          <w:highlight w:val="none"/>
          <w14:textFill>
            <w14:solidFill>
              <w14:schemeClr w14:val="tx1"/>
            </w14:solidFill>
          </w14:textFill>
        </w:rPr>
        <w:t>把健全完善帮扶项目联农带农机制作为加强帮扶资金使用管理和促进农</w:t>
      </w:r>
      <w:r>
        <w:rPr>
          <w:rFonts w:hint="eastAsia" w:ascii="仿宋_GB2312" w:hAnsi="仿宋_GB2312" w:cs="仿宋_GB2312"/>
          <w:color w:val="000000" w:themeColor="text1"/>
          <w:sz w:val="32"/>
          <w:szCs w:val="32"/>
          <w:highlight w:val="none"/>
          <w:lang w:eastAsia="zh-CN"/>
          <w14:textFill>
            <w14:solidFill>
              <w14:schemeClr w14:val="tx1"/>
            </w14:solidFill>
          </w14:textFill>
        </w:rPr>
        <w:t>牧</w:t>
      </w:r>
      <w:r>
        <w:rPr>
          <w:rFonts w:hint="eastAsia" w:ascii="仿宋_GB2312" w:hAnsi="仿宋_GB2312" w:eastAsia="仿宋_GB2312" w:cs="仿宋_GB2312"/>
          <w:color w:val="000000" w:themeColor="text1"/>
          <w:sz w:val="32"/>
          <w:szCs w:val="32"/>
          <w:highlight w:val="none"/>
          <w14:textFill>
            <w14:solidFill>
              <w14:schemeClr w14:val="tx1"/>
            </w14:solidFill>
          </w14:textFill>
        </w:rPr>
        <w:t>户增加收入的重要举措，多措并举抓好工作落实，督促经营主体认真落实联农带农责任。</w:t>
      </w:r>
    </w:p>
    <w:p>
      <w:pPr>
        <w:keepNext w:val="0"/>
        <w:keepLines w:val="0"/>
        <w:pageBreakBefore w:val="0"/>
        <w:widowControl w:val="0"/>
        <w:kinsoku/>
        <w:wordWrap/>
        <w:overflowPunct/>
        <w:topLinePunct w:val="0"/>
        <w:autoSpaceDE/>
        <w:autoSpaceDN/>
        <w:bidi w:val="0"/>
        <w:adjustRightInd/>
        <w:snapToGrid/>
        <w:spacing w:line="578" w:lineRule="exact"/>
        <w:ind w:firstLine="632" w:firstLineChars="200"/>
        <w:textAlignment w:val="auto"/>
        <w:rPr>
          <w:rFonts w:hint="default" w:ascii="仿宋_GB2312" w:hAnsi="仿宋_GB2312" w:eastAsia="仿宋_GB2312" w:cs="仿宋_GB2312"/>
          <w:color w:val="auto"/>
          <w:sz w:val="32"/>
          <w:szCs w:val="32"/>
          <w:highlight w:val="none"/>
          <w:u w:val="single"/>
          <w:lang w:val="en-US" w:eastAsia="zh-CN"/>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第二十二条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各级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乡村振兴部门要会同相关行业部门，按照“谁审批谁负责、谁使</w:t>
      </w:r>
      <w:r>
        <w:rPr>
          <w:rFonts w:hint="eastAsia" w:ascii="仿宋_GB2312" w:hAnsi="仿宋_GB2312" w:eastAsia="仿宋_GB2312" w:cs="仿宋_GB2312"/>
          <w:color w:val="000000" w:themeColor="text1"/>
          <w:sz w:val="32"/>
          <w:szCs w:val="32"/>
          <w:highlight w:val="none"/>
          <w14:textFill>
            <w14:solidFill>
              <w14:schemeClr w14:val="tx1"/>
            </w14:solidFill>
          </w14:textFill>
        </w:rPr>
        <w:t>用谁负责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的原则，</w:t>
      </w:r>
      <w:r>
        <w:rPr>
          <w:rFonts w:hint="eastAsia" w:ascii="仿宋_GB2312" w:hAnsi="仿宋_GB2312" w:cs="仿宋_GB2312"/>
          <w:color w:val="000000" w:themeColor="text1"/>
          <w:sz w:val="32"/>
          <w:szCs w:val="32"/>
          <w:highlight w:val="none"/>
          <w:lang w:eastAsia="zh-CN"/>
          <w14:textFill>
            <w14:solidFill>
              <w14:schemeClr w14:val="tx1"/>
            </w14:solidFill>
          </w14:textFill>
        </w:rPr>
        <w:t>根据帮扶项目类型和帮扶资金投入规模，确定具体的联农带农方式、标准和预期成效，</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联农带农综合成效高的项目优先纳入年度实施计划。</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第二十三条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将</w:t>
      </w:r>
      <w:r>
        <w:rPr>
          <w:rFonts w:hint="eastAsia" w:ascii="仿宋_GB2312" w:hAnsi="仿宋_GB2312" w:eastAsia="仿宋_GB2312" w:cs="仿宋_GB2312"/>
          <w:color w:val="000000" w:themeColor="text1"/>
          <w:sz w:val="32"/>
          <w:szCs w:val="32"/>
          <w:highlight w:val="none"/>
          <w14:textFill>
            <w14:solidFill>
              <w14:schemeClr w14:val="tx1"/>
            </w14:solidFill>
          </w14:textFill>
        </w:rPr>
        <w:t>联农带农情况纳入巩固拓展脱贫攻坚成果同乡村振兴</w:t>
      </w:r>
      <w:bookmarkStart w:id="0" w:name="_GoBack"/>
      <w:bookmarkEnd w:id="0"/>
      <w:r>
        <w:rPr>
          <w:rFonts w:hint="eastAsia" w:ascii="仿宋_GB2312" w:hAnsi="仿宋_GB2312" w:eastAsia="仿宋_GB2312" w:cs="仿宋_GB2312"/>
          <w:color w:val="000000" w:themeColor="text1"/>
          <w:sz w:val="32"/>
          <w:szCs w:val="32"/>
          <w:highlight w:val="none"/>
          <w14:textFill>
            <w14:solidFill>
              <w14:schemeClr w14:val="tx1"/>
            </w14:solidFill>
          </w14:textFill>
        </w:rPr>
        <w:t>有效衔接考核评估内容，</w:t>
      </w:r>
      <w:r>
        <w:rPr>
          <w:rFonts w:hint="eastAsia" w:ascii="仿宋_GB2312" w:hAnsi="仿宋_GB2312" w:cs="仿宋_GB2312"/>
          <w:color w:val="000000" w:themeColor="text1"/>
          <w:sz w:val="32"/>
          <w:szCs w:val="32"/>
          <w:highlight w:val="none"/>
          <w:lang w:eastAsia="zh-CN"/>
          <w14:textFill>
            <w14:solidFill>
              <w14:schemeClr w14:val="tx1"/>
            </w14:solidFill>
          </w14:textFill>
        </w:rPr>
        <w:t>增加考核权重，</w:t>
      </w:r>
      <w:r>
        <w:rPr>
          <w:rFonts w:hint="eastAsia" w:ascii="仿宋_GB2312" w:hAnsi="仿宋_GB2312" w:eastAsia="仿宋_GB2312" w:cs="仿宋_GB2312"/>
          <w:color w:val="000000" w:themeColor="text1"/>
          <w:sz w:val="32"/>
          <w:szCs w:val="32"/>
          <w:highlight w:val="none"/>
          <w14:textFill>
            <w14:solidFill>
              <w14:schemeClr w14:val="tx1"/>
            </w14:solidFill>
          </w14:textFill>
        </w:rPr>
        <w:t>强化考核指挥棒作用，推动工作落地落实。</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第二十四条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各级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乡村振兴</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注重宣传引导，</w:t>
      </w:r>
      <w:r>
        <w:rPr>
          <w:rFonts w:hint="eastAsia" w:ascii="仿宋_GB2312" w:hAnsi="仿宋_GB2312" w:eastAsia="仿宋_GB2312" w:cs="仿宋_GB2312"/>
          <w:color w:val="000000" w:themeColor="text1"/>
          <w:sz w:val="32"/>
          <w:szCs w:val="32"/>
          <w:highlight w:val="none"/>
          <w14:textFill>
            <w14:solidFill>
              <w14:schemeClr w14:val="tx1"/>
            </w14:solidFill>
          </w14:textFill>
        </w:rPr>
        <w:t>会同相关部门加强联农带农政策宣传解读，提高政策知晓率。总结推广工作中的好经验、好做法，积极选树联农带农机制完善、带动效果明显、可学可用的先进典型，充分运用报刊、电视、广播、网络等媒体资源进行宣传，发挥示范带动作用。</w:t>
      </w:r>
    </w:p>
    <w:p>
      <w:pPr>
        <w:keepNext w:val="0"/>
        <w:keepLines w:val="0"/>
        <w:pageBreakBefore w:val="0"/>
        <w:widowControl w:val="0"/>
        <w:kinsoku/>
        <w:wordWrap/>
        <w:overflowPunct/>
        <w:topLinePunct w:val="0"/>
        <w:autoSpaceDE/>
        <w:autoSpaceDN/>
        <w:bidi w:val="0"/>
        <w:adjustRightInd/>
        <w:snapToGrid/>
        <w:spacing w:before="289" w:beforeLines="50" w:after="289" w:afterLines="50" w:line="586" w:lineRule="exact"/>
        <w:jc w:val="center"/>
        <w:textAlignment w:val="baseline"/>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第八章</w:t>
      </w:r>
      <w:r>
        <w:rPr>
          <w:rFonts w:hint="default" w:ascii="黑体" w:hAnsi="黑体" w:eastAsia="黑体" w:cs="黑体"/>
          <w:color w:val="000000" w:themeColor="text1"/>
          <w:sz w:val="32"/>
          <w:szCs w:val="32"/>
          <w:highlight w:val="none"/>
          <w:lang w:val="en" w:eastAsia="zh-CN"/>
          <w14:textFill>
            <w14:solidFill>
              <w14:schemeClr w14:val="tx1"/>
            </w14:solidFill>
          </w14:textFill>
        </w:rPr>
        <w:t xml:space="preserve"> </w:t>
      </w:r>
      <w:r>
        <w:rPr>
          <w:rFonts w:hint="eastAsia" w:ascii="黑体" w:hAnsi="黑体" w:eastAsia="黑体" w:cs="黑体"/>
          <w:color w:val="000000" w:themeColor="text1"/>
          <w:sz w:val="32"/>
          <w:szCs w:val="32"/>
          <w:highlight w:val="none"/>
          <w:lang w:val="en-US" w:eastAsia="zh-CN"/>
          <w14:textFill>
            <w14:solidFill>
              <w14:schemeClr w14:val="tx1"/>
            </w14:solidFill>
          </w14:textFill>
        </w:rPr>
        <w:t xml:space="preserve"> 附 则</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第二十五条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本细则由</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自治区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乡村振兴局负责解释。</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第二十六条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本细则自</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发布之日起30日后施行。</w:t>
      </w:r>
    </w:p>
    <w:p>
      <w:pPr>
        <w:keepNext w:val="0"/>
        <w:keepLines w:val="0"/>
        <w:pageBreakBefore w:val="0"/>
        <w:widowControl w:val="0"/>
        <w:kinsoku/>
        <w:wordWrap/>
        <w:overflowPunct/>
        <w:topLinePunct w:val="0"/>
        <w:autoSpaceDE/>
        <w:autoSpaceDN/>
        <w:bidi w:val="0"/>
        <w:adjustRightInd/>
        <w:snapToGrid/>
        <w:spacing w:line="586" w:lineRule="exact"/>
        <w:ind w:firstLine="632" w:firstLineChars="200"/>
        <w:jc w:val="both"/>
        <w:textAlignment w:val="baseline"/>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楷体_GB2312" w:hAnsi="楷体_GB2312" w:eastAsia="楷体_GB2312" w:cs="楷体_GB2312"/>
          <w:color w:val="000000" w:themeColor="text1"/>
          <w:kern w:val="2"/>
          <w:sz w:val="32"/>
          <w:szCs w:val="32"/>
          <w:highlight w:val="none"/>
          <w:lang w:val="en-US" w:eastAsia="zh-CN" w:bidi="ar-SA"/>
          <w14:textFill>
            <w14:solidFill>
              <w14:schemeClr w14:val="tx1"/>
            </w14:solidFill>
          </w14:textFill>
        </w:rPr>
        <w:t xml:space="preserve">第二十七条 </w:t>
      </w:r>
      <w:r>
        <w:rPr>
          <w:rFonts w:hint="eastAsia" w:ascii="仿宋_GB2312" w:hAnsi="仿宋_GB2312" w:cs="仿宋_GB2312"/>
          <w:color w:val="000000" w:themeColor="text1"/>
          <w:sz w:val="32"/>
          <w:szCs w:val="32"/>
          <w:highlight w:val="none"/>
          <w:lang w:val="en-US" w:eastAsia="zh-CN"/>
          <w14:textFill>
            <w14:solidFill>
              <w14:schemeClr w14:val="tx1"/>
            </w14:solidFill>
          </w14:textFill>
        </w:rPr>
        <w:t xml:space="preserve"> 各盟市旗县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乡村振兴部门要结合本地实际，制定健全完善帮扶项目联农带农机制的具体工作细则，细化要求，明确责任，抓好落实。</w:t>
      </w:r>
    </w:p>
    <w:p>
      <w:pPr>
        <w:pStyle w:val="2"/>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pStyle w:val="4"/>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jc w:val="both"/>
        <w:textAlignment w:val="baseline"/>
        <w:rPr>
          <w:rStyle w:val="20"/>
          <w:rFonts w:hint="eastAsia" w:ascii="仿宋_GB2312" w:hAnsi="仿宋_GB2312" w:eastAsia="仿宋_GB2312" w:cs="仿宋_GB2312"/>
          <w:b w:val="0"/>
          <w:i w:val="0"/>
          <w:caps w:val="0"/>
          <w:spacing w:val="0"/>
          <w:w w:val="100"/>
          <w:kern w:val="2"/>
          <w:sz w:val="36"/>
          <w:szCs w:val="36"/>
          <w:highlight w:val="none"/>
          <w:lang w:val="en-US" w:eastAsia="zh-CN"/>
        </w:rPr>
        <w:sectPr>
          <w:headerReference r:id="rId3" w:type="default"/>
          <w:footerReference r:id="rId4" w:type="default"/>
          <w:pgSz w:w="11906" w:h="16838"/>
          <w:pgMar w:top="1928" w:right="1531" w:bottom="1984" w:left="1531" w:header="851" w:footer="1644" w:gutter="0"/>
          <w:lnNumType w:countBy="0"/>
          <w:pgNumType w:fmt="decimal"/>
          <w:cols w:space="0" w:num="1"/>
          <w:rtlGutter w:val="0"/>
          <w:vAlign w:val="top"/>
          <w:docGrid w:type="linesAndChars" w:linePitch="574" w:charSpace="-842"/>
        </w:sectPr>
      </w:pPr>
    </w:p>
    <w:tbl>
      <w:tblPr>
        <w:tblStyle w:val="16"/>
        <w:tblpPr w:leftFromText="180" w:rightFromText="180" w:vertAnchor="text" w:horzAnchor="page" w:tblpX="1435" w:tblpY="11542"/>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276" w:firstLineChars="100"/>
              <w:jc w:val="both"/>
              <w:textAlignment w:val="auto"/>
              <w:outlineLvl w:val="9"/>
              <w:rPr>
                <w:rFonts w:hint="default"/>
                <w:vertAlign w:val="baseline"/>
                <w:lang w:val="en-US" w:eastAsia="zh-CN"/>
              </w:rPr>
            </w:pPr>
            <w:r>
              <w:rPr>
                <w:rFonts w:hint="eastAsia"/>
                <w:sz w:val="28"/>
                <w:szCs w:val="28"/>
                <w:vertAlign w:val="baseline"/>
                <w:lang w:val="en-US" w:eastAsia="zh-CN"/>
              </w:rPr>
              <w:t>抄送：自治区纪委监委驻农牧厅纪检监察组</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060"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276" w:firstLineChars="100"/>
              <w:jc w:val="both"/>
              <w:textAlignment w:val="auto"/>
              <w:outlineLvl w:val="9"/>
              <w:rPr>
                <w:rFonts w:hint="eastAsia" w:ascii="仿宋_GB2312" w:hAnsi="仿宋_GB2312" w:eastAsia="仿宋_GB2312" w:cs="仿宋_GB2312"/>
                <w:bCs/>
                <w:sz w:val="28"/>
                <w:szCs w:val="28"/>
                <w:vertAlign w:val="baseline"/>
                <w:lang w:val="en-US" w:eastAsia="zh-CN"/>
              </w:rPr>
            </w:pPr>
            <w:r>
              <w:rPr>
                <w:rFonts w:hint="eastAsia" w:ascii="仿宋_GB2312" w:hAnsi="仿宋_GB2312" w:eastAsia="仿宋_GB2312" w:cs="仿宋_GB2312"/>
                <w:bCs/>
                <w:sz w:val="28"/>
                <w:szCs w:val="28"/>
                <w:vertAlign w:val="baseline"/>
                <w:lang w:val="en-US" w:eastAsia="zh-CN"/>
              </w:rPr>
              <w:t>内蒙古自治区乡村振兴局</w:t>
            </w:r>
            <w:r>
              <w:rPr>
                <w:rFonts w:hint="eastAsia" w:ascii="仿宋_GB2312" w:hAnsi="仿宋_GB2312" w:eastAsia="仿宋_GB2312" w:cs="仿宋_GB2312"/>
                <w:sz w:val="28"/>
                <w:szCs w:val="28"/>
                <w:vertAlign w:val="baseline"/>
                <w:lang w:val="en-US" w:eastAsia="zh-CN"/>
              </w:rPr>
              <w:t xml:space="preserve">                    2023年</w:t>
            </w:r>
            <w:r>
              <w:rPr>
                <w:rFonts w:hint="eastAsia" w:ascii="仿宋_GB2312" w:hAnsi="仿宋_GB2312" w:cs="仿宋_GB2312"/>
                <w:sz w:val="28"/>
                <w:szCs w:val="28"/>
                <w:vertAlign w:val="baseline"/>
                <w:lang w:val="en-US" w:eastAsia="zh-CN"/>
              </w:rPr>
              <w:t>3</w:t>
            </w:r>
            <w:r>
              <w:rPr>
                <w:rFonts w:hint="eastAsia" w:ascii="仿宋_GB2312" w:hAnsi="仿宋_GB2312" w:eastAsia="仿宋_GB2312" w:cs="仿宋_GB2312"/>
                <w:sz w:val="28"/>
                <w:szCs w:val="28"/>
                <w:vertAlign w:val="baseline"/>
                <w:lang w:val="en-US" w:eastAsia="zh-CN"/>
              </w:rPr>
              <w:t>月</w:t>
            </w:r>
            <w:r>
              <w:rPr>
                <w:rFonts w:hint="eastAsia" w:ascii="仿宋_GB2312" w:hAnsi="仿宋_GB2312" w:cs="仿宋_GB2312"/>
                <w:sz w:val="28"/>
                <w:szCs w:val="28"/>
                <w:vertAlign w:val="baseline"/>
                <w:lang w:val="en-US" w:eastAsia="zh-CN"/>
              </w:rPr>
              <w:t>1</w:t>
            </w:r>
            <w:r>
              <w:rPr>
                <w:rFonts w:hint="eastAsia" w:ascii="仿宋_GB2312" w:hAnsi="仿宋_GB2312" w:eastAsia="仿宋_GB2312" w:cs="仿宋_GB2312"/>
                <w:sz w:val="28"/>
                <w:szCs w:val="28"/>
                <w:vertAlign w:val="baseline"/>
                <w:lang w:val="en-US" w:eastAsia="zh-CN"/>
              </w:rPr>
              <w:t>日印发</w:t>
            </w:r>
          </w:p>
        </w:tc>
      </w:tr>
    </w:tbl>
    <w:p>
      <w:pPr>
        <w:pStyle w:val="2"/>
        <w:rPr>
          <w:rFonts w:hint="eastAsia"/>
          <w:lang w:val="en-US" w:eastAsia="zh-CN"/>
        </w:rPr>
      </w:pPr>
    </w:p>
    <w:p>
      <w:pPr>
        <w:pStyle w:val="4"/>
        <w:rPr>
          <w:rFonts w:hint="eastAsia"/>
          <w:lang w:val="en-US" w:eastAsia="zh-CN"/>
        </w:rPr>
      </w:pPr>
    </w:p>
    <w:sectPr>
      <w:pgSz w:w="11906" w:h="16838"/>
      <w:pgMar w:top="1928" w:right="1531" w:bottom="1984" w:left="1531" w:header="851" w:footer="1644" w:gutter="0"/>
      <w:lnNumType w:countBy="0"/>
      <w:pgNumType w:fmt="decimal"/>
      <w:cols w:space="0" w:num="1"/>
      <w:rtlGutter w:val="0"/>
      <w:vAlign w:val="top"/>
      <w:docGrid w:type="linesAndChars" w:linePitch="574"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idowControl/>
      <w:snapToGrid w:val="0"/>
      <w:jc w:val="left"/>
      <w:textAlignment w:val="baseline"/>
      <w:rPr>
        <w:rStyle w:val="20"/>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r>
      <w:rPr>
        <w:rStyle w:val="20"/>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widowControl/>
                            <w:snapToGrid w:val="0"/>
                            <w:jc w:val="left"/>
                            <w:textAlignment w:val="baseline"/>
                            <w:rPr>
                              <w:rStyle w:val="20"/>
                              <w:rFonts w:eastAsia="宋体"/>
                              <w:kern w:val="2"/>
                              <w:sz w:val="18"/>
                              <w:szCs w:val="18"/>
                              <w:lang w:val="en-US" w:eastAsia="zh-CN" w:bidi="ar-SA"/>
                            </w:rPr>
                          </w:pPr>
                        </w:p>
                        <w:p>
                          <w:pPr>
                            <w:pStyle w:val="38"/>
                            <w:widowControl/>
                            <w:snapToGrid w:val="0"/>
                            <w:jc w:val="left"/>
                            <w:textAlignment w:val="baseline"/>
                            <w:rPr>
                              <w:rStyle w:val="20"/>
                              <w:rFonts w:ascii="Calibri" w:hAnsi="Calibri"/>
                              <w:kern w:val="2"/>
                              <w:sz w:val="18"/>
                              <w:szCs w:val="22"/>
                              <w:lang w:val="en-US" w:eastAsia="zh-CN" w:bidi="ar-SA"/>
                            </w:rPr>
                          </w:pPr>
                        </w:p>
                      </w:txbxContent>
                    </wps:txbx>
                    <wps:bodyPr lIns="0" tIns="0" rIns="0" bIns="0" upright="1"/>
                  </wps:wsp>
                </a:graphicData>
              </a:graphic>
            </wp:anchor>
          </w:drawing>
        </mc:Choice>
        <mc:Fallback>
          <w:pict>
            <v:shape id="文本框 14"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lZi6+0QAAAAUBAAAPAAAAAAAAAAEAIAAAACIAAABkcnMvZG93bnJldi54bWxQSwECFAAU&#10;AAAACACHTuJANFU8hL8BAAB9AwAADgAAAAAAAAABACAAAAAgAQAAZHJzL2Uyb0RvYy54bWxQSwUG&#10;AAAAAAYABgBZAQAAUQUAAAAA&#10;">
              <v:fill on="f" focussize="0,0"/>
              <v:stroke on="f" weight="0.5pt"/>
              <v:imagedata o:title=""/>
              <o:lock v:ext="edit" aspectratio="f"/>
              <v:textbox inset="0mm,0mm,0mm,0mm">
                <w:txbxContent>
                  <w:p>
                    <w:pPr>
                      <w:pStyle w:val="8"/>
                      <w:widowControl/>
                      <w:snapToGrid w:val="0"/>
                      <w:jc w:val="left"/>
                      <w:textAlignment w:val="baseline"/>
                      <w:rPr>
                        <w:rStyle w:val="20"/>
                        <w:rFonts w:eastAsia="宋体"/>
                        <w:kern w:val="2"/>
                        <w:sz w:val="18"/>
                        <w:szCs w:val="18"/>
                        <w:lang w:val="en-US" w:eastAsia="zh-CN" w:bidi="ar-SA"/>
                      </w:rPr>
                    </w:pPr>
                  </w:p>
                  <w:p>
                    <w:pPr>
                      <w:pStyle w:val="38"/>
                      <w:widowControl/>
                      <w:snapToGrid w:val="0"/>
                      <w:jc w:val="left"/>
                      <w:textAlignment w:val="baseline"/>
                      <w:rPr>
                        <w:rStyle w:val="20"/>
                        <w:rFonts w:ascii="Calibri" w:hAnsi="Calibri"/>
                        <w:kern w:val="2"/>
                        <w:sz w:val="18"/>
                        <w:szCs w:val="22"/>
                        <w:lang w:val="en-US" w:eastAsia="zh-CN" w:bidi="ar-S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pBdr>
        <w:bottom w:val="none" w:color="000000" w:sz="0" w:space="1"/>
      </w:pBdr>
      <w:snapToGrid w:val="0"/>
      <w:jc w:val="center"/>
      <w:textAlignment w:val="baseline"/>
      <w:rPr>
        <w:rStyle w:val="20"/>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DC1BC2"/>
    <w:multiLevelType w:val="singleLevel"/>
    <w:tmpl w:val="9DDC1BC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YjJiMmU3ZDhjYjBmMTlkZDkwMTBhOTdjMzFhN2MifQ=="/>
  </w:docVars>
  <w:rsids>
    <w:rsidRoot w:val="00000000"/>
    <w:rsid w:val="05EF3F4F"/>
    <w:rsid w:val="0ABD5295"/>
    <w:rsid w:val="0E0444EA"/>
    <w:rsid w:val="0FF526AD"/>
    <w:rsid w:val="1002449F"/>
    <w:rsid w:val="10213CDA"/>
    <w:rsid w:val="13CF50D2"/>
    <w:rsid w:val="14816E01"/>
    <w:rsid w:val="151B3A59"/>
    <w:rsid w:val="156F0C08"/>
    <w:rsid w:val="15F3D865"/>
    <w:rsid w:val="18D03CF6"/>
    <w:rsid w:val="19FD5C7A"/>
    <w:rsid w:val="24DA191D"/>
    <w:rsid w:val="26F54EBF"/>
    <w:rsid w:val="287943A9"/>
    <w:rsid w:val="28BE0891"/>
    <w:rsid w:val="2BDDDD96"/>
    <w:rsid w:val="2DFFFA03"/>
    <w:rsid w:val="33B73BA0"/>
    <w:rsid w:val="34813AE4"/>
    <w:rsid w:val="35CC0BB8"/>
    <w:rsid w:val="36B37D52"/>
    <w:rsid w:val="38A9753D"/>
    <w:rsid w:val="3B2B6F40"/>
    <w:rsid w:val="3C4535B9"/>
    <w:rsid w:val="3CD27050"/>
    <w:rsid w:val="3EF6C617"/>
    <w:rsid w:val="3F1713B2"/>
    <w:rsid w:val="3F7BF4F5"/>
    <w:rsid w:val="3FA6A73B"/>
    <w:rsid w:val="3FF30BC2"/>
    <w:rsid w:val="3FFFFAA3"/>
    <w:rsid w:val="41223F3B"/>
    <w:rsid w:val="41742297"/>
    <w:rsid w:val="435730A1"/>
    <w:rsid w:val="46A21B10"/>
    <w:rsid w:val="49EC5A88"/>
    <w:rsid w:val="4AD04A96"/>
    <w:rsid w:val="4BEC5DD9"/>
    <w:rsid w:val="4D453A21"/>
    <w:rsid w:val="4F235505"/>
    <w:rsid w:val="4FF558CC"/>
    <w:rsid w:val="50AF32C1"/>
    <w:rsid w:val="51A51C5D"/>
    <w:rsid w:val="535B5FE2"/>
    <w:rsid w:val="541F60AF"/>
    <w:rsid w:val="56AC0A26"/>
    <w:rsid w:val="5AB03DF5"/>
    <w:rsid w:val="5CB50439"/>
    <w:rsid w:val="5D6657A3"/>
    <w:rsid w:val="5FFE9C35"/>
    <w:rsid w:val="5FFEC856"/>
    <w:rsid w:val="60160AA9"/>
    <w:rsid w:val="6036113E"/>
    <w:rsid w:val="63C90A96"/>
    <w:rsid w:val="655666D4"/>
    <w:rsid w:val="67F9DB43"/>
    <w:rsid w:val="67FF2679"/>
    <w:rsid w:val="68FD3883"/>
    <w:rsid w:val="691D7536"/>
    <w:rsid w:val="6B0040AF"/>
    <w:rsid w:val="6B606937"/>
    <w:rsid w:val="6BBF11FE"/>
    <w:rsid w:val="6CA07301"/>
    <w:rsid w:val="6D99BD09"/>
    <w:rsid w:val="6ECF02D5"/>
    <w:rsid w:val="6EF25976"/>
    <w:rsid w:val="6FE7632E"/>
    <w:rsid w:val="70494E19"/>
    <w:rsid w:val="70F8A71C"/>
    <w:rsid w:val="71141C0E"/>
    <w:rsid w:val="749F5F0C"/>
    <w:rsid w:val="755D697F"/>
    <w:rsid w:val="75D01F78"/>
    <w:rsid w:val="75FFBECB"/>
    <w:rsid w:val="7608742C"/>
    <w:rsid w:val="760DBF26"/>
    <w:rsid w:val="76E9F269"/>
    <w:rsid w:val="779AB3B2"/>
    <w:rsid w:val="77BFADD8"/>
    <w:rsid w:val="77EF158B"/>
    <w:rsid w:val="7ADF6649"/>
    <w:rsid w:val="7AE069B4"/>
    <w:rsid w:val="7B8F1B6A"/>
    <w:rsid w:val="7CCC06FA"/>
    <w:rsid w:val="7CEA6445"/>
    <w:rsid w:val="7CFAF5F3"/>
    <w:rsid w:val="7D0F9819"/>
    <w:rsid w:val="7D9F6565"/>
    <w:rsid w:val="7DBFA8F7"/>
    <w:rsid w:val="7DF53A6D"/>
    <w:rsid w:val="7E19DC90"/>
    <w:rsid w:val="7EBFF80F"/>
    <w:rsid w:val="7F7ED736"/>
    <w:rsid w:val="7FAF8669"/>
    <w:rsid w:val="7FC5ECCD"/>
    <w:rsid w:val="7FD5A295"/>
    <w:rsid w:val="7FE43E97"/>
    <w:rsid w:val="7FFE2572"/>
    <w:rsid w:val="8DF7B146"/>
    <w:rsid w:val="976F5F6A"/>
    <w:rsid w:val="9A77C918"/>
    <w:rsid w:val="ABFD9320"/>
    <w:rsid w:val="AFB744CD"/>
    <w:rsid w:val="AFFF3235"/>
    <w:rsid w:val="B2774E0B"/>
    <w:rsid w:val="B4FFBB9D"/>
    <w:rsid w:val="BBC712A9"/>
    <w:rsid w:val="BBE6E2C2"/>
    <w:rsid w:val="BDF8E257"/>
    <w:rsid w:val="BFF12F74"/>
    <w:rsid w:val="D7F6C5DF"/>
    <w:rsid w:val="DDCFDCC1"/>
    <w:rsid w:val="DF328A76"/>
    <w:rsid w:val="DFF9D773"/>
    <w:rsid w:val="DFFE6E9D"/>
    <w:rsid w:val="DFFF8CA1"/>
    <w:rsid w:val="E1FFAA3B"/>
    <w:rsid w:val="E77FFBE2"/>
    <w:rsid w:val="E9E7D6EA"/>
    <w:rsid w:val="EB1FE517"/>
    <w:rsid w:val="EBBE9696"/>
    <w:rsid w:val="EE7E1CF3"/>
    <w:rsid w:val="EEBBD00B"/>
    <w:rsid w:val="F227E657"/>
    <w:rsid w:val="F23D48CB"/>
    <w:rsid w:val="F2F7BD8D"/>
    <w:rsid w:val="F35FF04D"/>
    <w:rsid w:val="F39A80E2"/>
    <w:rsid w:val="F3FF5166"/>
    <w:rsid w:val="F3FFF828"/>
    <w:rsid w:val="F57E76C5"/>
    <w:rsid w:val="F6AA9411"/>
    <w:rsid w:val="F6DBF9D1"/>
    <w:rsid w:val="F9F7700F"/>
    <w:rsid w:val="FA7FC383"/>
    <w:rsid w:val="FAAE834F"/>
    <w:rsid w:val="FAFF1CD7"/>
    <w:rsid w:val="FBF9A94B"/>
    <w:rsid w:val="FCEF91E0"/>
    <w:rsid w:val="FD75B5A3"/>
    <w:rsid w:val="FED7307F"/>
    <w:rsid w:val="FEDBAFEC"/>
    <w:rsid w:val="FEDD272F"/>
    <w:rsid w:val="FEFD8749"/>
    <w:rsid w:val="FF7FF232"/>
    <w:rsid w:val="FF9D0F8B"/>
    <w:rsid w:val="FF9DB57D"/>
    <w:rsid w:val="FFAD00E2"/>
    <w:rsid w:val="FFBF3762"/>
    <w:rsid w:val="FFBFE62A"/>
    <w:rsid w:val="FFE7DAEA"/>
    <w:rsid w:val="FFED22E0"/>
    <w:rsid w:val="FFF651AB"/>
    <w:rsid w:val="FFF6A8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7"/>
    <w:qFormat/>
    <w:uiPriority w:val="0"/>
    <w:pPr>
      <w:jc w:val="both"/>
      <w:textAlignment w:val="baseline"/>
    </w:pPr>
    <w:rPr>
      <w:rFonts w:ascii="Times New Roman" w:hAnsi="Times New Roman" w:eastAsia="仿宋_GB2312" w:cstheme="minorBidi"/>
      <w:kern w:val="2"/>
      <w:sz w:val="21"/>
      <w:szCs w:val="24"/>
      <w:lang w:val="en-US" w:eastAsia="zh-CN" w:bidi="ar-SA"/>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spacing w:after="120"/>
      <w:ind w:firstLine="420" w:firstLineChars="200"/>
    </w:pPr>
  </w:style>
  <w:style w:type="paragraph" w:styleId="3">
    <w:name w:val="Body Text Indent"/>
    <w:basedOn w:val="1"/>
    <w:qFormat/>
    <w:uiPriority w:val="99"/>
    <w:pPr>
      <w:ind w:left="420" w:leftChars="200"/>
    </w:pPr>
  </w:style>
  <w:style w:type="paragraph" w:styleId="4">
    <w:name w:val="Body Text First Indent"/>
    <w:basedOn w:val="5"/>
    <w:qFormat/>
    <w:uiPriority w:val="99"/>
    <w:pPr>
      <w:ind w:firstLine="420" w:firstLineChars="100"/>
    </w:pPr>
  </w:style>
  <w:style w:type="paragraph" w:styleId="5">
    <w:name w:val="Body Text"/>
    <w:basedOn w:val="1"/>
    <w:next w:val="6"/>
    <w:qFormat/>
    <w:uiPriority w:val="0"/>
    <w:rPr>
      <w:rFonts w:ascii="Calibri" w:hAnsi="Calibri" w:eastAsia="宋体" w:cs="Times New Roman"/>
    </w:rPr>
  </w:style>
  <w:style w:type="paragraph" w:styleId="6">
    <w:name w:val="Body Text 2"/>
    <w:basedOn w:val="1"/>
    <w:qFormat/>
    <w:uiPriority w:val="99"/>
    <w:pPr>
      <w:spacing w:after="120" w:line="480" w:lineRule="auto"/>
    </w:pPr>
  </w:style>
  <w:style w:type="paragraph" w:styleId="7">
    <w:name w:val="Date"/>
    <w:basedOn w:val="1"/>
    <w:next w:val="1"/>
    <w:qFormat/>
    <w:uiPriority w:val="0"/>
    <w:pPr>
      <w:ind w:left="100" w:leftChars="2500"/>
      <w:jc w:val="both"/>
      <w:textAlignment w:val="baseline"/>
    </w:pPr>
  </w:style>
  <w:style w:type="paragraph" w:styleId="8">
    <w:name w:val="footer"/>
    <w:basedOn w:val="1"/>
    <w:next w:val="9"/>
    <w:qFormat/>
    <w:uiPriority w:val="0"/>
    <w:pPr>
      <w:tabs>
        <w:tab w:val="center" w:pos="4153"/>
        <w:tab w:val="right" w:pos="8306"/>
      </w:tabs>
      <w:snapToGrid w:val="0"/>
      <w:jc w:val="left"/>
      <w:textAlignment w:val="baseline"/>
    </w:pPr>
    <w:rPr>
      <w:kern w:val="2"/>
      <w:sz w:val="18"/>
      <w:szCs w:val="18"/>
      <w:lang w:val="en-US" w:eastAsia="zh-CN" w:bidi="ar-SA"/>
    </w:rPr>
  </w:style>
  <w:style w:type="paragraph" w:customStyle="1" w:styleId="9">
    <w:name w:val="UserStyle_0"/>
    <w:basedOn w:val="1"/>
    <w:next w:val="10"/>
    <w:qFormat/>
    <w:uiPriority w:val="0"/>
    <w:pPr>
      <w:jc w:val="both"/>
      <w:textAlignment w:val="baseline"/>
    </w:pPr>
    <w:rPr>
      <w:rFonts w:ascii="Arial" w:hAnsi="Arial"/>
      <w:b/>
      <w:kern w:val="2"/>
      <w:sz w:val="21"/>
      <w:szCs w:val="24"/>
      <w:lang w:val="en-US" w:eastAsia="zh-CN" w:bidi="ar-SA"/>
    </w:rPr>
  </w:style>
  <w:style w:type="paragraph" w:customStyle="1" w:styleId="10">
    <w:name w:val="UserStyle_1"/>
    <w:basedOn w:val="1"/>
    <w:next w:val="1"/>
    <w:qFormat/>
    <w:uiPriority w:val="0"/>
    <w:pPr>
      <w:jc w:val="both"/>
      <w:textAlignment w:val="baseline"/>
    </w:pPr>
  </w:style>
  <w:style w:type="paragraph" w:styleId="11">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12">
    <w:name w:val="toc 1"/>
    <w:basedOn w:val="1"/>
    <w:next w:val="1"/>
    <w:qFormat/>
    <w:uiPriority w:val="0"/>
    <w:pPr>
      <w:spacing w:line="660" w:lineRule="exact"/>
      <w:ind w:firstLine="705"/>
    </w:pPr>
    <w:rPr>
      <w:rFonts w:ascii="仿宋_GB2312" w:eastAsia="仿宋_GB2312"/>
      <w:color w:val="000000"/>
      <w:sz w:val="36"/>
      <w:szCs w:val="36"/>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4">
    <w:name w:val="Title"/>
    <w:basedOn w:val="1"/>
    <w:next w:val="1"/>
    <w:qFormat/>
    <w:uiPriority w:val="0"/>
    <w:pPr>
      <w:spacing w:before="240" w:after="60"/>
      <w:jc w:val="center"/>
      <w:textAlignment w:val="baseline"/>
    </w:pPr>
    <w:rPr>
      <w:rFonts w:ascii="Arial" w:hAnsi="Arial" w:cs="Arial"/>
      <w:b/>
      <w:bCs/>
      <w:kern w:val="2"/>
      <w:sz w:val="32"/>
      <w:szCs w:val="32"/>
      <w:lang w:val="en-US" w:eastAsia="zh-CN" w:bidi="ar-SA"/>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paragraph" w:customStyle="1" w:styleId="19">
    <w:name w:val="Heading3"/>
    <w:basedOn w:val="1"/>
    <w:next w:val="1"/>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character" w:customStyle="1" w:styleId="20">
    <w:name w:val="NormalCharacter"/>
    <w:link w:val="1"/>
    <w:qFormat/>
    <w:uiPriority w:val="0"/>
  </w:style>
  <w:style w:type="table" w:customStyle="1" w:styleId="21">
    <w:name w:val="TableNormal"/>
    <w:semiHidden/>
    <w:qFormat/>
    <w:uiPriority w:val="0"/>
  </w:style>
  <w:style w:type="paragraph" w:customStyle="1" w:styleId="22">
    <w:name w:val="BodyText"/>
    <w:basedOn w:val="1"/>
    <w:qFormat/>
    <w:uiPriority w:val="0"/>
    <w:pPr>
      <w:spacing w:after="120"/>
      <w:jc w:val="both"/>
      <w:textAlignment w:val="baseline"/>
    </w:pPr>
  </w:style>
  <w:style w:type="paragraph" w:customStyle="1" w:styleId="23">
    <w:name w:val="BodyTextIndent"/>
    <w:basedOn w:val="1"/>
    <w:qFormat/>
    <w:uiPriority w:val="0"/>
    <w:pPr>
      <w:spacing w:after="120"/>
      <w:ind w:left="420" w:leftChars="200"/>
      <w:jc w:val="both"/>
      <w:textAlignment w:val="baseline"/>
    </w:pPr>
    <w:rPr>
      <w:rFonts w:ascii="Calibri" w:hAnsi="Calibri" w:eastAsia="宋体"/>
      <w:kern w:val="2"/>
      <w:sz w:val="21"/>
      <w:szCs w:val="24"/>
      <w:lang w:val="en-US" w:eastAsia="zh-CN" w:bidi="ar-SA"/>
    </w:rPr>
  </w:style>
  <w:style w:type="paragraph" w:customStyle="1" w:styleId="24">
    <w:name w:val="Acetate"/>
    <w:basedOn w:val="1"/>
    <w:qFormat/>
    <w:uiPriority w:val="0"/>
    <w:pPr>
      <w:jc w:val="both"/>
      <w:textAlignment w:val="baseline"/>
    </w:pPr>
    <w:rPr>
      <w:kern w:val="2"/>
      <w:sz w:val="18"/>
      <w:szCs w:val="18"/>
      <w:lang w:val="en-US" w:eastAsia="zh-CN" w:bidi="ar-SA"/>
    </w:rPr>
  </w:style>
  <w:style w:type="paragraph" w:customStyle="1" w:styleId="25">
    <w:name w:val="TOC1"/>
    <w:basedOn w:val="1"/>
    <w:next w:val="1"/>
    <w:qFormat/>
    <w:uiPriority w:val="0"/>
    <w:pPr>
      <w:spacing w:line="660" w:lineRule="exact"/>
      <w:ind w:firstLine="705"/>
      <w:jc w:val="both"/>
      <w:textAlignment w:val="baseline"/>
    </w:pPr>
    <w:rPr>
      <w:rFonts w:ascii="仿宋_GB2312" w:eastAsia="仿宋_GB2312"/>
      <w:color w:val="000000"/>
      <w:kern w:val="2"/>
      <w:sz w:val="36"/>
      <w:szCs w:val="36"/>
      <w:lang w:val="en-US" w:eastAsia="zh-CN" w:bidi="ar-SA"/>
    </w:rPr>
  </w:style>
  <w:style w:type="table" w:customStyle="1" w:styleId="26">
    <w:name w:val="TableGrid"/>
    <w:basedOn w:val="21"/>
    <w:qFormat/>
    <w:uiPriority w:val="0"/>
  </w:style>
  <w:style w:type="character" w:customStyle="1" w:styleId="27">
    <w:name w:val="PageNumber"/>
    <w:basedOn w:val="20"/>
    <w:link w:val="1"/>
    <w:qFormat/>
    <w:uiPriority w:val="0"/>
  </w:style>
  <w:style w:type="paragraph" w:customStyle="1" w:styleId="28">
    <w:name w:val="UserStyle_2"/>
    <w:basedOn w:val="29"/>
    <w:qFormat/>
    <w:uiPriority w:val="0"/>
    <w:pPr>
      <w:ind w:firstLine="200" w:firstLineChars="200"/>
      <w:jc w:val="both"/>
      <w:textAlignment w:val="baseline"/>
    </w:pPr>
  </w:style>
  <w:style w:type="paragraph" w:customStyle="1" w:styleId="29">
    <w:name w:val="UserStyle_3"/>
    <w:next w:val="28"/>
    <w:qFormat/>
    <w:uiPriority w:val="0"/>
    <w:pPr>
      <w:jc w:val="both"/>
      <w:textAlignment w:val="baseline"/>
    </w:pPr>
    <w:rPr>
      <w:rFonts w:ascii="Calibri" w:hAnsi="Calibri" w:eastAsia="宋体" w:cstheme="minorBidi"/>
      <w:kern w:val="2"/>
      <w:sz w:val="21"/>
      <w:szCs w:val="21"/>
      <w:lang w:val="en-US" w:eastAsia="zh-CN" w:bidi="ar-SA"/>
    </w:rPr>
  </w:style>
  <w:style w:type="character" w:customStyle="1" w:styleId="30">
    <w:name w:val="UserStyle_4"/>
    <w:link w:val="31"/>
    <w:qFormat/>
    <w:uiPriority w:val="0"/>
    <w:rPr>
      <w:rFonts w:ascii="Verdana" w:hAnsi="Verdana"/>
      <w:kern w:val="0"/>
      <w:sz w:val="24"/>
      <w:szCs w:val="20"/>
      <w:lang w:eastAsia="en-US"/>
    </w:rPr>
  </w:style>
  <w:style w:type="paragraph" w:customStyle="1" w:styleId="31">
    <w:name w:val="UserStyle_5"/>
    <w:basedOn w:val="1"/>
    <w:next w:val="1"/>
    <w:link w:val="30"/>
    <w:qFormat/>
    <w:uiPriority w:val="0"/>
    <w:pPr>
      <w:widowControl/>
      <w:spacing w:after="160" w:line="240" w:lineRule="exact"/>
      <w:jc w:val="left"/>
      <w:textAlignment w:val="baseline"/>
    </w:pPr>
    <w:rPr>
      <w:rFonts w:ascii="Verdana" w:hAnsi="Verdana"/>
      <w:kern w:val="0"/>
      <w:sz w:val="24"/>
      <w:szCs w:val="20"/>
      <w:lang w:val="en-US" w:eastAsia="en-US" w:bidi="ar-SA"/>
    </w:rPr>
  </w:style>
  <w:style w:type="paragraph" w:customStyle="1" w:styleId="32">
    <w:name w:val="UserStyle_6"/>
    <w:qFormat/>
    <w:uiPriority w:val="0"/>
    <w:pPr>
      <w:jc w:val="both"/>
      <w:textAlignment w:val="baseline"/>
    </w:pPr>
    <w:rPr>
      <w:rFonts w:ascii="Times New Roman" w:hAnsi="Times New Roman" w:eastAsia="仿宋_GB2312" w:cstheme="minorBidi"/>
      <w:kern w:val="2"/>
      <w:sz w:val="21"/>
      <w:szCs w:val="22"/>
      <w:lang w:val="en-US" w:eastAsia="zh-CN" w:bidi="ar-SA"/>
    </w:rPr>
  </w:style>
  <w:style w:type="paragraph" w:customStyle="1" w:styleId="33">
    <w:name w:val="UserStyle_7"/>
    <w:basedOn w:val="34"/>
    <w:next w:val="1"/>
    <w:qFormat/>
    <w:uiPriority w:val="0"/>
    <w:pPr>
      <w:spacing w:after="120" w:line="240" w:lineRule="auto"/>
      <w:ind w:left="420" w:leftChars="200" w:firstLine="420" w:firstLineChars="200"/>
      <w:jc w:val="both"/>
      <w:textAlignment w:val="baseline"/>
    </w:pPr>
    <w:rPr>
      <w:rFonts w:ascii="Times New Roman" w:hAnsi="Times New Roman" w:eastAsia="宋体"/>
      <w:kern w:val="2"/>
      <w:sz w:val="21"/>
      <w:szCs w:val="24"/>
    </w:rPr>
  </w:style>
  <w:style w:type="paragraph" w:customStyle="1" w:styleId="34">
    <w:name w:val="UserStyle_8"/>
    <w:basedOn w:val="1"/>
    <w:next w:val="1"/>
    <w:qFormat/>
    <w:uiPriority w:val="0"/>
    <w:pPr>
      <w:spacing w:after="120" w:line="240" w:lineRule="auto"/>
      <w:ind w:left="420" w:leftChars="200"/>
      <w:jc w:val="both"/>
      <w:textAlignment w:val="baseline"/>
    </w:pPr>
  </w:style>
  <w:style w:type="paragraph" w:customStyle="1" w:styleId="35">
    <w:name w:val="UserStyle_9"/>
    <w:qFormat/>
    <w:uiPriority w:val="0"/>
    <w:pPr>
      <w:jc w:val="both"/>
      <w:textAlignment w:val="baseline"/>
    </w:pPr>
    <w:rPr>
      <w:rFonts w:ascii="Times New Roman" w:hAnsi="Times New Roman" w:eastAsia="宋体" w:cstheme="minorBidi"/>
      <w:kern w:val="2"/>
      <w:sz w:val="21"/>
      <w:szCs w:val="24"/>
      <w:lang w:val="en-US" w:eastAsia="zh-CN"/>
    </w:rPr>
  </w:style>
  <w:style w:type="paragraph" w:customStyle="1" w:styleId="36">
    <w:name w:val="UserStyle_10"/>
    <w:basedOn w:val="37"/>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宋体"/>
      <w:kern w:val="2"/>
      <w:sz w:val="18"/>
      <w:lang w:val="en-US" w:eastAsia="zh-CN"/>
    </w:rPr>
  </w:style>
  <w:style w:type="paragraph" w:customStyle="1" w:styleId="37">
    <w:name w:val="UserStyle_11"/>
    <w:qFormat/>
    <w:uiPriority w:val="0"/>
    <w:pPr>
      <w:jc w:val="both"/>
      <w:textAlignment w:val="baseline"/>
    </w:pPr>
    <w:rPr>
      <w:rFonts w:ascii="Times New Roman" w:hAnsi="Times New Roman" w:eastAsia="宋体" w:cstheme="minorBidi"/>
      <w:kern w:val="2"/>
      <w:sz w:val="21"/>
      <w:lang w:val="en-US" w:eastAsia="zh-CN"/>
    </w:rPr>
  </w:style>
  <w:style w:type="paragraph" w:customStyle="1" w:styleId="38">
    <w:name w:val="UserStyle_12"/>
    <w:basedOn w:val="39"/>
    <w:qFormat/>
    <w:uiPriority w:val="0"/>
    <w:pPr>
      <w:tabs>
        <w:tab w:val="center" w:pos="4153"/>
        <w:tab w:val="right" w:pos="8306"/>
      </w:tabs>
      <w:snapToGrid w:val="0"/>
      <w:jc w:val="left"/>
      <w:textAlignment w:val="baseline"/>
    </w:pPr>
    <w:rPr>
      <w:rFonts w:ascii="Calibri" w:hAnsi="Calibri"/>
      <w:kern w:val="2"/>
      <w:sz w:val="18"/>
      <w:szCs w:val="22"/>
      <w:lang w:val="en-US" w:eastAsia="zh-CN" w:bidi="ar-SA"/>
    </w:rPr>
  </w:style>
  <w:style w:type="paragraph" w:customStyle="1" w:styleId="39">
    <w:name w:val="UserStyle_13"/>
    <w:qFormat/>
    <w:uiPriority w:val="0"/>
    <w:pPr>
      <w:jc w:val="both"/>
      <w:textAlignment w:val="baseline"/>
    </w:pPr>
    <w:rPr>
      <w:rFonts w:ascii="Calibri" w:hAnsi="Calibri" w:eastAsia="仿宋_GB2312" w:cstheme="minorBidi"/>
      <w:kern w:val="2"/>
      <w:sz w:val="21"/>
      <w:szCs w:val="22"/>
      <w:lang w:val="en-US" w:eastAsia="zh-CN" w:bidi="ar-SA"/>
    </w:rPr>
  </w:style>
  <w:style w:type="paragraph" w:customStyle="1" w:styleId="40">
    <w:name w:val="UserStyle_14"/>
    <w:qFormat/>
    <w:uiPriority w:val="0"/>
    <w:pPr>
      <w:widowControl/>
      <w:spacing w:line="520" w:lineRule="exact"/>
      <w:ind w:firstLine="200" w:firstLineChars="200"/>
      <w:jc w:val="both"/>
      <w:textAlignment w:val="baseline"/>
    </w:pPr>
    <w:rPr>
      <w:rFonts w:ascii="Times New Roman" w:hAnsi="Times New Roman" w:eastAsia="仿宋_GB2312" w:cstheme="minorBidi"/>
      <w:kern w:val="2"/>
      <w:sz w:val="28"/>
      <w:szCs w:val="24"/>
      <w:lang w:val="en-US" w:eastAsia="zh-CN" w:bidi="ar-SA"/>
    </w:rPr>
  </w:style>
  <w:style w:type="paragraph" w:customStyle="1" w:styleId="41">
    <w:name w:val="UserStyle_15"/>
    <w:qFormat/>
    <w:uiPriority w:val="0"/>
    <w:pPr>
      <w:jc w:val="both"/>
      <w:textAlignment w:val="baseline"/>
    </w:pPr>
    <w:rPr>
      <w:rFonts w:ascii="Times New Roman" w:hAnsi="Times New Roman" w:eastAsia="仿宋_GB2312" w:cstheme="minorBidi"/>
      <w:kern w:val="2"/>
      <w:sz w:val="21"/>
      <w:szCs w:val="24"/>
      <w:lang w:val="en-US" w:eastAsia="zh-CN" w:bidi="ar-SA"/>
    </w:rPr>
  </w:style>
  <w:style w:type="paragraph" w:customStyle="1" w:styleId="42">
    <w:name w:val="UserStyle_16"/>
    <w:basedOn w:val="43"/>
    <w:qFormat/>
    <w:uiPriority w:val="0"/>
    <w:pPr>
      <w:tabs>
        <w:tab w:val="center" w:pos="4153"/>
        <w:tab w:val="right" w:pos="8306"/>
      </w:tabs>
      <w:snapToGrid w:val="0"/>
      <w:jc w:val="left"/>
      <w:textAlignment w:val="baseline"/>
    </w:pPr>
    <w:rPr>
      <w:rFonts w:ascii="Calibri" w:hAnsi="Calibri" w:eastAsia="宋体"/>
      <w:kern w:val="2"/>
      <w:sz w:val="18"/>
      <w:szCs w:val="18"/>
      <w:lang w:val="en-US" w:eastAsia="zh-CN"/>
    </w:rPr>
  </w:style>
  <w:style w:type="paragraph" w:customStyle="1" w:styleId="43">
    <w:name w:val="UserStyle_17"/>
    <w:qFormat/>
    <w:uiPriority w:val="0"/>
    <w:pPr>
      <w:jc w:val="both"/>
      <w:textAlignment w:val="baseline"/>
    </w:pPr>
    <w:rPr>
      <w:rFonts w:ascii="Calibri" w:hAnsi="Calibri" w:eastAsia="宋体" w:cstheme="minorBidi"/>
      <w:kern w:val="2"/>
      <w:sz w:val="21"/>
      <w:szCs w:val="22"/>
      <w:lang w:val="en-US" w:eastAsia="zh-CN"/>
    </w:rPr>
  </w:style>
  <w:style w:type="paragraph" w:customStyle="1" w:styleId="44">
    <w:name w:val="UserStyle_18"/>
    <w:basedOn w:val="1"/>
    <w:next w:val="1"/>
    <w:qFormat/>
    <w:uiPriority w:val="0"/>
    <w:pPr>
      <w:keepNext/>
      <w:keepLines/>
      <w:spacing w:before="260" w:after="260" w:line="416" w:lineRule="auto"/>
      <w:jc w:val="both"/>
      <w:textAlignment w:val="baseline"/>
    </w:pPr>
    <w:rPr>
      <w:rFonts w:cs="Times New Roman"/>
      <w:b/>
      <w:bCs/>
      <w:kern w:val="2"/>
      <w:sz w:val="32"/>
      <w:szCs w:val="32"/>
      <w:lang w:val="en-US" w:eastAsia="zh-CN" w:bidi="ar-SA"/>
    </w:rPr>
  </w:style>
  <w:style w:type="paragraph" w:customStyle="1" w:styleId="45">
    <w:name w:val="UserStyle_19"/>
    <w:basedOn w:val="46"/>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bidi="ar-SA"/>
    </w:rPr>
  </w:style>
  <w:style w:type="paragraph" w:customStyle="1" w:styleId="46">
    <w:name w:val="UserStyle_20"/>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47">
    <w:name w:val="UserStyle_21"/>
    <w:qFormat/>
    <w:uiPriority w:val="0"/>
    <w:pPr>
      <w:jc w:val="both"/>
      <w:textAlignment w:val="baseline"/>
    </w:pPr>
    <w:rPr>
      <w:rFonts w:ascii="Times New Roman" w:hAnsi="Times New Roman" w:eastAsia="仿宋_GB2312" w:cstheme="minorBidi"/>
      <w:kern w:val="2"/>
      <w:sz w:val="21"/>
      <w:szCs w:val="22"/>
      <w:lang w:val="en-US" w:eastAsia="zh-CN" w:bidi="ar-SA"/>
    </w:rPr>
  </w:style>
  <w:style w:type="paragraph" w:customStyle="1" w:styleId="48">
    <w:name w:val="UserStyle_22"/>
    <w:basedOn w:val="49"/>
    <w:qFormat/>
    <w:uiPriority w:val="0"/>
    <w:pPr>
      <w:tabs>
        <w:tab w:val="center" w:pos="4153"/>
        <w:tab w:val="right" w:pos="8306"/>
      </w:tabs>
      <w:snapToGrid w:val="0"/>
      <w:jc w:val="left"/>
      <w:textAlignment w:val="baseline"/>
    </w:pPr>
    <w:rPr>
      <w:rFonts w:ascii="Calibri" w:hAnsi="Calibri" w:eastAsia="宋体"/>
      <w:kern w:val="2"/>
      <w:sz w:val="18"/>
      <w:szCs w:val="24"/>
      <w:lang w:val="en-US" w:eastAsia="zh-CN"/>
    </w:rPr>
  </w:style>
  <w:style w:type="paragraph" w:customStyle="1" w:styleId="49">
    <w:name w:val="UserStyle_23"/>
    <w:qFormat/>
    <w:uiPriority w:val="0"/>
    <w:pPr>
      <w:jc w:val="both"/>
      <w:textAlignment w:val="baseline"/>
    </w:pPr>
    <w:rPr>
      <w:rFonts w:ascii="Calibri" w:hAnsi="Calibri" w:eastAsia="宋体" w:cstheme="minorBidi"/>
      <w:kern w:val="2"/>
      <w:sz w:val="21"/>
      <w:szCs w:val="24"/>
      <w:lang w:val="en-US" w:eastAsia="zh-CN"/>
    </w:rPr>
  </w:style>
  <w:style w:type="paragraph" w:customStyle="1" w:styleId="50">
    <w:name w:val="UserStyle_24"/>
    <w:basedOn w:val="1"/>
    <w:qFormat/>
    <w:uiPriority w:val="0"/>
    <w:pPr>
      <w:widowControl/>
      <w:jc w:val="both"/>
      <w:textAlignment w:val="baseline"/>
    </w:pPr>
  </w:style>
  <w:style w:type="paragraph" w:customStyle="1" w:styleId="51">
    <w:name w:val="UserStyle_25"/>
    <w:qFormat/>
    <w:uiPriority w:val="0"/>
    <w:pPr>
      <w:jc w:val="both"/>
      <w:textAlignment w:val="baseline"/>
    </w:pPr>
    <w:rPr>
      <w:rFonts w:ascii="Calibri" w:hAnsi="Calibri" w:eastAsia="宋体" w:cstheme="minorBidi"/>
      <w:kern w:val="2"/>
      <w:sz w:val="21"/>
      <w:szCs w:val="24"/>
      <w:lang w:val="en-US" w:eastAsia="zh-CN" w:bidi="ar-SA"/>
    </w:rPr>
  </w:style>
  <w:style w:type="paragraph" w:customStyle="1" w:styleId="52">
    <w:name w:val="UserStyle_26"/>
    <w:next w:val="28"/>
    <w:qFormat/>
    <w:uiPriority w:val="0"/>
    <w:pPr>
      <w:jc w:val="both"/>
      <w:textAlignment w:val="baseline"/>
    </w:pPr>
    <w:rPr>
      <w:rFonts w:ascii="Times New Roman" w:hAnsi="Times New Roman" w:eastAsia="宋体" w:cstheme="minorBidi"/>
      <w:kern w:val="2"/>
      <w:sz w:val="21"/>
      <w:szCs w:val="24"/>
      <w:lang w:val="en-US" w:eastAsia="zh-CN"/>
    </w:rPr>
  </w:style>
  <w:style w:type="paragraph" w:customStyle="1" w:styleId="53">
    <w:name w:val="UserStyle_27"/>
    <w:qFormat/>
    <w:uiPriority w:val="0"/>
    <w:pPr>
      <w:jc w:val="both"/>
      <w:textAlignment w:val="baseline"/>
    </w:pPr>
    <w:rPr>
      <w:rFonts w:ascii="Calibri" w:hAnsi="Calibri" w:eastAsia="仿宋_GB2312" w:cstheme="minorBidi"/>
      <w:kern w:val="2"/>
      <w:sz w:val="21"/>
      <w:szCs w:val="22"/>
      <w:lang w:val="en-US" w:eastAsia="zh-CN" w:bidi="ar-SA"/>
    </w:rPr>
  </w:style>
  <w:style w:type="paragraph" w:customStyle="1" w:styleId="54">
    <w:name w:val="UserStyle_28"/>
    <w:qFormat/>
    <w:uiPriority w:val="0"/>
    <w:pPr>
      <w:jc w:val="both"/>
      <w:textAlignment w:val="baseline"/>
    </w:pPr>
    <w:rPr>
      <w:rFonts w:ascii="Calibri" w:hAnsi="Calibri" w:eastAsia="仿宋_GB2312" w:cstheme="minorBidi"/>
      <w:kern w:val="2"/>
      <w:sz w:val="21"/>
      <w:szCs w:val="22"/>
      <w:lang w:val="en-US" w:eastAsia="zh-CN" w:bidi="ar-SA"/>
    </w:rPr>
  </w:style>
  <w:style w:type="paragraph" w:customStyle="1" w:styleId="55">
    <w:name w:val="UserStyle_29"/>
    <w:basedOn w:val="46"/>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eastAsia="宋体"/>
      <w:kern w:val="2"/>
      <w:sz w:val="18"/>
      <w:szCs w:val="24"/>
      <w:lang w:val="en-US" w:eastAsia="zh-CN" w:bidi="ar-SA"/>
    </w:rPr>
  </w:style>
  <w:style w:type="paragraph" w:customStyle="1" w:styleId="56">
    <w:name w:val="UserStyle_30"/>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customStyle="1" w:styleId="57">
    <w:name w:val="UserStyle_31"/>
    <w:qFormat/>
    <w:uiPriority w:val="0"/>
    <w:pPr>
      <w:jc w:val="both"/>
      <w:textAlignment w:val="baseline"/>
    </w:pPr>
    <w:rPr>
      <w:rFonts w:ascii="Calibri" w:hAnsi="Calibri" w:eastAsia="宋体" w:cstheme="minorBidi"/>
      <w:kern w:val="2"/>
      <w:sz w:val="21"/>
      <w:szCs w:val="22"/>
      <w:lang w:val="en-US" w:eastAsia="zh-CN"/>
    </w:rPr>
  </w:style>
  <w:style w:type="paragraph" w:customStyle="1" w:styleId="58">
    <w:name w:val="UserStyle_32"/>
    <w:basedOn w:val="39"/>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kern w:val="2"/>
      <w:sz w:val="18"/>
      <w:szCs w:val="22"/>
      <w:lang w:val="en-US" w:eastAsia="zh-CN" w:bidi="ar-SA"/>
    </w:rPr>
  </w:style>
  <w:style w:type="paragraph" w:customStyle="1" w:styleId="59">
    <w:name w:val="UserStyle_33"/>
    <w:qFormat/>
    <w:uiPriority w:val="0"/>
    <w:pPr>
      <w:jc w:val="both"/>
      <w:textAlignment w:val="baseline"/>
    </w:pPr>
    <w:rPr>
      <w:rFonts w:ascii="Times New Roman" w:hAnsi="Times New Roman" w:eastAsia="宋体" w:cstheme="minorBidi"/>
      <w:kern w:val="2"/>
      <w:sz w:val="21"/>
      <w:lang w:val="en-US" w:eastAsia="zh-CN" w:bidi="ar-SA"/>
    </w:rPr>
  </w:style>
  <w:style w:type="paragraph" w:customStyle="1" w:styleId="60">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正文-公1"/>
    <w:basedOn w:val="1"/>
    <w:qFormat/>
    <w:uiPriority w:val="0"/>
    <w:pPr>
      <w:ind w:firstLine="200" w:firstLineChars="200"/>
    </w:pPr>
    <w:rPr>
      <w:szCs w:val="20"/>
    </w:rPr>
  </w:style>
  <w:style w:type="paragraph" w:customStyle="1" w:styleId="63">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4504</Words>
  <Characters>4533</Characters>
  <TotalTime>1</TotalTime>
  <ScaleCrop>false</ScaleCrop>
  <LinksUpToDate>false</LinksUpToDate>
  <CharactersWithSpaces>4624</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2022-05-22T19:35:00Z</dcterms:created>
  <dc:creator>Administrator</dc:creator>
  <cp:lastModifiedBy>Alpha Elaine W.</cp:lastModifiedBy>
  <cp:lastPrinted>2023-03-01T09:30:00Z</cp:lastPrinted>
  <dcterms:modified xsi:type="dcterms:W3CDTF">2023-03-01T07:12:17Z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0DEC737A1B294838AC5BD4F2FA35596A</vt:lpwstr>
  </property>
</Properties>
</file>